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027A8">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440" w:firstLineChars="100"/>
        <w:jc w:val="left"/>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bookmarkStart w:id="0" w:name="_GoBack"/>
      <w:bookmarkEnd w:id="0"/>
    </w:p>
    <w:p w14:paraId="23F41F83">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440" w:firstLineChars="100"/>
        <w:jc w:val="left"/>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甘州区</w:t>
      </w:r>
      <w:r>
        <w:rPr>
          <w:rFonts w:hint="eastAsia" w:ascii="方正小标宋简体" w:hAnsi="方正小标宋简体" w:eastAsia="方正小标宋简体" w:cs="方正小标宋简体"/>
          <w:b w:val="0"/>
          <w:bCs w:val="0"/>
          <w:color w:val="auto"/>
          <w:sz w:val="44"/>
          <w:szCs w:val="44"/>
        </w:rPr>
        <w:t>优化营商环境全面提升年行动方案</w:t>
      </w:r>
    </w:p>
    <w:p w14:paraId="2BE372BC">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color w:val="auto"/>
          <w:spacing w:val="0"/>
          <w:sz w:val="32"/>
          <w:szCs w:val="32"/>
          <w:highlight w:val="none"/>
          <w:lang w:val="en-US" w:eastAsia="zh-CN"/>
        </w:rPr>
      </w:pPr>
      <w:r>
        <w:rPr>
          <w:rFonts w:hint="eastAsia" w:ascii="楷体_GB2312" w:hAnsi="楷体_GB2312" w:eastAsia="楷体_GB2312" w:cs="楷体_GB2312"/>
          <w:b/>
          <w:bCs/>
          <w:color w:val="auto"/>
          <w:spacing w:val="0"/>
          <w:sz w:val="32"/>
          <w:szCs w:val="32"/>
          <w:highlight w:val="none"/>
          <w:lang w:val="en-US" w:eastAsia="zh-CN"/>
        </w:rPr>
        <w:t>（征求意见稿）</w:t>
      </w:r>
    </w:p>
    <w:p w14:paraId="6D51545B">
      <w:pPr>
        <w:pStyle w:val="7"/>
        <w:keepNext w:val="0"/>
        <w:keepLines w:val="0"/>
        <w:pageBreakBefore w:val="0"/>
        <w:widowControl w:val="0"/>
        <w:tabs>
          <w:tab w:val="left" w:pos="3264"/>
        </w:tabs>
        <w:kinsoku/>
        <w:wordWrap/>
        <w:overflowPunct/>
        <w:topLinePunct w:val="0"/>
        <w:autoSpaceDE/>
        <w:autoSpaceDN/>
        <w:bidi w:val="0"/>
        <w:adjustRightInd/>
        <w:snapToGrid/>
        <w:spacing w:beforeAutospacing="0" w:afterAutospacing="0" w:line="560" w:lineRule="exact"/>
        <w:ind w:left="0" w:leftChars="0" w:firstLine="880" w:firstLineChars="200"/>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ab/>
      </w:r>
    </w:p>
    <w:p w14:paraId="15FF2199">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为深入贯彻落实省、市、区</w:t>
      </w:r>
      <w:r>
        <w:rPr>
          <w:rFonts w:hint="eastAsia" w:ascii="仿宋_GB2312" w:hAnsi="仿宋_GB2312" w:eastAsia="仿宋_GB2312" w:cs="仿宋_GB2312"/>
          <w:b w:val="0"/>
          <w:bCs w:val="0"/>
          <w:color w:val="auto"/>
          <w:spacing w:val="-6"/>
          <w:sz w:val="32"/>
          <w:szCs w:val="32"/>
        </w:rPr>
        <w:t>关于优化营商环境的</w:t>
      </w:r>
      <w:r>
        <w:rPr>
          <w:rFonts w:hint="eastAsia" w:ascii="仿宋_GB2312" w:hAnsi="仿宋_GB2312" w:eastAsia="仿宋_GB2312" w:cs="仿宋_GB2312"/>
          <w:b w:val="0"/>
          <w:bCs w:val="0"/>
          <w:color w:val="auto"/>
          <w:spacing w:val="-6"/>
          <w:sz w:val="32"/>
          <w:szCs w:val="32"/>
          <w:lang w:eastAsia="zh-CN"/>
        </w:rPr>
        <w:t>决策部署</w:t>
      </w:r>
      <w:r>
        <w:rPr>
          <w:rFonts w:hint="eastAsia" w:ascii="仿宋_GB2312" w:hAnsi="仿宋_GB2312" w:eastAsia="仿宋_GB2312" w:cs="仿宋_GB2312"/>
          <w:b w:val="0"/>
          <w:bCs w:val="0"/>
          <w:color w:val="auto"/>
          <w:spacing w:val="-6"/>
          <w:sz w:val="32"/>
          <w:szCs w:val="32"/>
        </w:rPr>
        <w:t>，</w:t>
      </w:r>
      <w:r>
        <w:rPr>
          <w:rFonts w:hint="eastAsia" w:ascii="仿宋_GB2312" w:hAnsi="仿宋_GB2312" w:eastAsia="仿宋_GB2312" w:cs="仿宋_GB2312"/>
          <w:b w:val="0"/>
          <w:bCs w:val="0"/>
          <w:color w:val="auto"/>
          <w:spacing w:val="-6"/>
          <w:sz w:val="32"/>
          <w:szCs w:val="32"/>
          <w:lang w:val="en-US" w:eastAsia="zh-CN"/>
        </w:rPr>
        <w:t>深入</w:t>
      </w:r>
      <w:r>
        <w:rPr>
          <w:rFonts w:hint="eastAsia" w:ascii="仿宋_GB2312" w:hAnsi="仿宋_GB2312" w:eastAsia="仿宋_GB2312" w:cs="仿宋_GB2312"/>
          <w:b w:val="0"/>
          <w:bCs w:val="0"/>
          <w:color w:val="auto"/>
          <w:spacing w:val="-6"/>
          <w:sz w:val="32"/>
          <w:szCs w:val="32"/>
          <w:lang w:eastAsia="zh-CN"/>
        </w:rPr>
        <w:t>推进“优化营商环境</w:t>
      </w:r>
      <w:r>
        <w:rPr>
          <w:rFonts w:hint="eastAsia" w:ascii="仿宋_GB2312" w:hAnsi="仿宋_GB2312" w:eastAsia="仿宋_GB2312" w:cs="仿宋_GB2312"/>
          <w:b w:val="0"/>
          <w:bCs w:val="0"/>
          <w:color w:val="auto"/>
          <w:spacing w:val="-6"/>
          <w:sz w:val="32"/>
          <w:szCs w:val="32"/>
          <w:lang w:val="en-US" w:eastAsia="zh-CN"/>
        </w:rPr>
        <w:t>全面提升</w:t>
      </w:r>
      <w:r>
        <w:rPr>
          <w:rFonts w:hint="eastAsia" w:ascii="仿宋_GB2312" w:hAnsi="仿宋_GB2312" w:eastAsia="仿宋_GB2312" w:cs="仿宋_GB2312"/>
          <w:b w:val="0"/>
          <w:bCs w:val="0"/>
          <w:color w:val="auto"/>
          <w:spacing w:val="-6"/>
          <w:sz w:val="32"/>
          <w:szCs w:val="32"/>
          <w:lang w:eastAsia="zh-CN"/>
        </w:rPr>
        <w:t>年”行动，</w:t>
      </w:r>
      <w:r>
        <w:rPr>
          <w:rFonts w:hint="eastAsia" w:ascii="仿宋_GB2312" w:hAnsi="仿宋_GB2312" w:eastAsia="仿宋_GB2312" w:cs="仿宋_GB2312"/>
          <w:color w:val="auto"/>
          <w:sz w:val="32"/>
          <w:szCs w:val="32"/>
          <w:lang w:val="en-US" w:eastAsia="zh-CN"/>
        </w:rPr>
        <w:t>加快打造“</w:t>
      </w:r>
      <w:r>
        <w:rPr>
          <w:rFonts w:hint="eastAsia" w:ascii="仿宋_GB2312" w:hAnsi="仿宋_GB2312" w:eastAsia="仿宋_GB2312" w:cs="仿宋_GB2312"/>
          <w:color w:val="auto"/>
          <w:sz w:val="32"/>
          <w:szCs w:val="32"/>
        </w:rPr>
        <w:t>甘霖</w:t>
      </w:r>
      <w:r>
        <w:rPr>
          <w:rFonts w:hint="eastAsia" w:ascii="仿宋_GB2312" w:hAnsi="仿宋_GB2312" w:eastAsia="仿宋_GB2312" w:cs="仿宋_GB2312"/>
          <w:color w:val="auto"/>
          <w:sz w:val="32"/>
          <w:szCs w:val="32"/>
          <w:lang w:val="en-US" w:eastAsia="zh-CN"/>
        </w:rPr>
        <w:t>润</w:t>
      </w:r>
      <w:r>
        <w:rPr>
          <w:rFonts w:hint="eastAsia" w:ascii="仿宋_GB2312" w:hAnsi="仿宋_GB2312" w:eastAsia="仿宋_GB2312" w:cs="仿宋_GB2312"/>
          <w:color w:val="auto"/>
          <w:sz w:val="32"/>
          <w:szCs w:val="32"/>
        </w:rPr>
        <w:t>企</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州</w:t>
      </w:r>
      <w:r>
        <w:rPr>
          <w:rFonts w:hint="eastAsia" w:ascii="仿宋_GB2312" w:hAnsi="仿宋_GB2312" w:eastAsia="仿宋_GB2312" w:cs="仿宋_GB2312"/>
          <w:color w:val="auto"/>
          <w:sz w:val="32"/>
          <w:szCs w:val="32"/>
          <w:lang w:val="en-US" w:eastAsia="zh-CN"/>
        </w:rPr>
        <w:t>全</w:t>
      </w:r>
      <w:r>
        <w:rPr>
          <w:rFonts w:hint="eastAsia" w:ascii="仿宋_GB2312" w:hAnsi="仿宋_GB2312" w:eastAsia="仿宋_GB2312" w:cs="仿宋_GB2312"/>
          <w:color w:val="auto"/>
          <w:sz w:val="32"/>
          <w:szCs w:val="32"/>
        </w:rPr>
        <w:t>服务</w:t>
      </w:r>
      <w:r>
        <w:rPr>
          <w:rFonts w:hint="eastAsia" w:ascii="仿宋_GB2312" w:hAnsi="仿宋_GB2312" w:eastAsia="仿宋_GB2312" w:cs="仿宋_GB2312"/>
          <w:color w:val="auto"/>
          <w:sz w:val="32"/>
          <w:szCs w:val="32"/>
          <w:lang w:val="en-US" w:eastAsia="zh-CN"/>
        </w:rPr>
        <w:t>”营商环境品牌，结合工作实际，制定本方案。</w:t>
      </w:r>
    </w:p>
    <w:p w14:paraId="517862C1">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一、总体目标</w:t>
      </w:r>
    </w:p>
    <w:p w14:paraId="38A80900">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全面贯彻党的二十大和二十届二中、三中全会精神，深入落实习近平总书记关于优化营商环境重要论述和视察甘肃重要讲话重要指示精神，对标国内一流标准，坚持系统集成、持续迭代升级，以市场化为鲜明主线、以法治化为基础保障、以国际化为重要标准、以便利化为关键支撑，加力打造规范有序、公正透明、开放包容、利企便民的一流营商环境。</w:t>
      </w:r>
    </w:p>
    <w:p w14:paraId="32DABDFF">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二、主要任务</w:t>
      </w:r>
    </w:p>
    <w:p w14:paraId="4083BE8E">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default" w:ascii="楷体_GB2312" w:hAnsi="楷体_GB2312" w:eastAsia="楷体_GB2312" w:cs="楷体_GB2312"/>
          <w:color w:val="auto"/>
          <w:sz w:val="32"/>
          <w:szCs w:val="32"/>
          <w:lang w:val="en-US"/>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val="en-US" w:eastAsia="zh-CN"/>
        </w:rPr>
        <w:t>着力提升市场化水平，激发经营主体活力</w:t>
      </w:r>
    </w:p>
    <w:p w14:paraId="09267E90">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优化市场准入准营环境</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严格</w:t>
      </w:r>
      <w:r>
        <w:rPr>
          <w:rFonts w:hint="eastAsia" w:ascii="仿宋_GB2312" w:hAnsi="仿宋_GB2312" w:eastAsia="仿宋_GB2312" w:cs="仿宋_GB2312"/>
          <w:color w:val="auto"/>
          <w:sz w:val="32"/>
          <w:szCs w:val="32"/>
        </w:rPr>
        <w:t>落实市场准入</w:t>
      </w:r>
      <w:r>
        <w:rPr>
          <w:rFonts w:hint="eastAsia" w:ascii="仿宋_GB2312" w:hAnsi="仿宋_GB2312" w:eastAsia="仿宋_GB2312" w:cs="仿宋_GB2312"/>
          <w:color w:val="auto"/>
          <w:sz w:val="32"/>
          <w:szCs w:val="32"/>
          <w:lang w:eastAsia="zh-CN"/>
        </w:rPr>
        <w:t>负面清单制度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探索开展市场准入效能评估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深入推进</w:t>
      </w:r>
      <w:r>
        <w:rPr>
          <w:rFonts w:hint="eastAsia" w:ascii="仿宋_GB2312" w:hAnsi="仿宋_GB2312" w:eastAsia="仿宋_GB2312" w:cs="仿宋_GB2312"/>
          <w:color w:val="auto"/>
          <w:sz w:val="32"/>
          <w:szCs w:val="32"/>
        </w:rPr>
        <w:t>“一业一证”改革，建立行业综合许可制度，实现“一单告知、一表申请、一标核准、一证准营”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健全完善公平竞争第三方审查模式，及时清理废除妨碍统一市场和公平竞争的制度规定。</w:t>
      </w:r>
    </w:p>
    <w:p w14:paraId="01E7FD74">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促进</w:t>
      </w:r>
      <w:r>
        <w:rPr>
          <w:rFonts w:hint="eastAsia" w:ascii="仿宋_GB2312" w:hAnsi="仿宋_GB2312" w:eastAsia="仿宋_GB2312" w:cs="仿宋_GB2312"/>
          <w:b/>
          <w:bCs/>
          <w:color w:val="auto"/>
          <w:sz w:val="32"/>
          <w:szCs w:val="32"/>
          <w:lang w:eastAsia="zh-CN"/>
        </w:rPr>
        <w:t>公共资源交易</w:t>
      </w:r>
      <w:r>
        <w:rPr>
          <w:rFonts w:hint="eastAsia" w:ascii="仿宋_GB2312" w:hAnsi="仿宋_GB2312" w:eastAsia="仿宋_GB2312" w:cs="仿宋_GB2312"/>
          <w:b/>
          <w:bCs/>
          <w:color w:val="auto"/>
          <w:sz w:val="32"/>
          <w:szCs w:val="32"/>
        </w:rPr>
        <w:t>公平竞争</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kern w:val="0"/>
          <w:sz w:val="32"/>
          <w:szCs w:val="32"/>
          <w:lang w:val="en-US" w:eastAsia="zh-CN" w:bidi="ar"/>
        </w:rPr>
        <w:t>深化拓展公共资源交易“全省一张网”成果应用，完善计算机辅助评标评审系统功能和</w:t>
      </w:r>
      <w:r>
        <w:rPr>
          <w:rFonts w:hint="eastAsia" w:ascii="仿宋_GB2312" w:hAnsi="仿宋_GB2312" w:eastAsia="仿宋_GB2312" w:cs="仿宋_GB2312"/>
          <w:color w:val="auto"/>
          <w:sz w:val="32"/>
          <w:szCs w:val="32"/>
        </w:rPr>
        <w:t>评标委员会对异常低价的甄别处理程序。</w:t>
      </w:r>
      <w:r>
        <w:rPr>
          <w:rFonts w:hint="eastAsia" w:ascii="仿宋_GB2312" w:hAnsi="仿宋_GB2312" w:eastAsia="仿宋_GB2312" w:cs="仿宋_GB2312"/>
          <w:color w:val="auto"/>
          <w:kern w:val="0"/>
          <w:sz w:val="32"/>
          <w:szCs w:val="32"/>
          <w:lang w:val="en-US" w:eastAsia="zh-CN" w:bidi="ar"/>
        </w:rPr>
        <w:t>持续深化交易协同监管工作和远程异地评标评审。</w:t>
      </w:r>
      <w:r>
        <w:rPr>
          <w:rFonts w:hint="eastAsia" w:ascii="仿宋_GB2312" w:hAnsi="仿宋_GB2312" w:eastAsia="仿宋_GB2312" w:cs="仿宋_GB2312"/>
          <w:color w:val="auto"/>
          <w:sz w:val="32"/>
          <w:szCs w:val="32"/>
          <w:lang w:val="en-US" w:eastAsia="zh-CN"/>
        </w:rPr>
        <w:t>深化政府采购项目电子合同</w:t>
      </w:r>
      <w:r>
        <w:rPr>
          <w:rFonts w:hint="default" w:ascii="仿宋_GB2312" w:hAnsi="仿宋_GB2312" w:eastAsia="仿宋_GB2312" w:cs="仿宋_GB2312"/>
          <w:color w:val="auto"/>
          <w:sz w:val="32"/>
          <w:szCs w:val="32"/>
          <w:lang w:eastAsia="zh-CN"/>
        </w:rPr>
        <w:t>应用</w:t>
      </w:r>
      <w:r>
        <w:rPr>
          <w:rFonts w:hint="eastAsia" w:ascii="仿宋_GB2312" w:hAnsi="仿宋_GB2312" w:eastAsia="仿宋_GB2312" w:cs="仿宋_GB2312"/>
          <w:color w:val="auto"/>
          <w:sz w:val="32"/>
          <w:szCs w:val="32"/>
          <w:lang w:val="en-US" w:eastAsia="zh-CN"/>
        </w:rPr>
        <w:t>管理，</w:t>
      </w:r>
      <w:r>
        <w:rPr>
          <w:rFonts w:hint="eastAsia" w:ascii="仿宋_GB2312" w:hAnsi="仿宋_GB2312" w:eastAsia="仿宋_GB2312" w:cs="仿宋_GB2312"/>
          <w:strike w:val="0"/>
          <w:dstrike w:val="0"/>
          <w:color w:val="auto"/>
          <w:spacing w:val="0"/>
          <w:sz w:val="32"/>
          <w:szCs w:val="32"/>
          <w:highlight w:val="none"/>
          <w:u w:val="none"/>
          <w:lang w:val="en-US" w:eastAsia="zh-CN"/>
        </w:rPr>
        <w:t>打造便利化政府采购环境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0"/>
          <w:sz w:val="32"/>
          <w:szCs w:val="32"/>
          <w:lang w:val="en-US" w:eastAsia="zh-CN" w:bidi="ar"/>
        </w:rPr>
        <w:t>年内开展工程建设项目“双随机、一公开”执法检查不少于2次。授予中小企业合同金额占全部政府采购合同金额比例要达到90%以上。各行业远程异地评标比重占到全部交易数量的30%以上。</w:t>
      </w:r>
    </w:p>
    <w:p w14:paraId="1CC29843">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eastAsia="zh-CN"/>
        </w:rPr>
        <w:t>打造</w:t>
      </w:r>
      <w:r>
        <w:rPr>
          <w:rFonts w:hint="eastAsia" w:ascii="仿宋_GB2312" w:hAnsi="仿宋_GB2312" w:eastAsia="仿宋_GB2312" w:cs="仿宋_GB2312"/>
          <w:b/>
          <w:bCs/>
          <w:color w:val="auto"/>
          <w:sz w:val="32"/>
          <w:szCs w:val="32"/>
        </w:rPr>
        <w:t>精准高效监管模式</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rPr>
        <w:t>优</w:t>
      </w:r>
      <w:r>
        <w:rPr>
          <w:rFonts w:hint="eastAsia" w:ascii="仿宋_GB2312" w:hAnsi="仿宋_GB2312" w:eastAsia="仿宋_GB2312" w:cs="仿宋_GB2312"/>
          <w:b w:val="0"/>
          <w:bCs w:val="0"/>
          <w:color w:val="auto"/>
          <w:sz w:val="32"/>
          <w:szCs w:val="32"/>
        </w:rPr>
        <w:t>化跨部门</w:t>
      </w:r>
      <w:r>
        <w:rPr>
          <w:rFonts w:hint="eastAsia" w:ascii="仿宋_GB2312" w:hAnsi="仿宋_GB2312" w:eastAsia="仿宋_GB2312" w:cs="仿宋_GB2312"/>
          <w:b w:val="0"/>
          <w:bCs w:val="0"/>
          <w:color w:val="auto"/>
          <w:sz w:val="32"/>
          <w:szCs w:val="32"/>
          <w:lang w:val="en-US" w:eastAsia="zh-CN"/>
        </w:rPr>
        <w:t>“一业一查”</w:t>
      </w:r>
      <w:r>
        <w:rPr>
          <w:rFonts w:hint="eastAsia" w:ascii="仿宋_GB2312" w:hAnsi="仿宋_GB2312" w:eastAsia="仿宋_GB2312" w:cs="仿宋_GB2312"/>
          <w:b w:val="0"/>
          <w:bCs w:val="0"/>
          <w:color w:val="auto"/>
          <w:sz w:val="32"/>
          <w:szCs w:val="32"/>
        </w:rPr>
        <w:t>“综合监管一件事”，推行“扫码入企”、跨部门检查结果互认共享，建立多头执法、重复检查智能预警监督机制。深化包容审慎监管，探索运用大数据、人工智能等技术</w:t>
      </w:r>
      <w:r>
        <w:rPr>
          <w:rFonts w:hint="eastAsia" w:ascii="仿宋_GB2312" w:hAnsi="仿宋_GB2312" w:eastAsia="仿宋_GB2312" w:cs="仿宋_GB2312"/>
          <w:color w:val="auto"/>
          <w:sz w:val="32"/>
          <w:szCs w:val="32"/>
        </w:rPr>
        <w:t>赋能非现场检查。制订预付式消费领域综合监管风险隐患清单，提升识别感知、预警推送、发现处置能力。市场监管领域部门“双随机、一公开”抽查事项覆盖率要达到</w:t>
      </w:r>
      <w:r>
        <w:rPr>
          <w:rFonts w:hint="eastAsia" w:ascii="仿宋_GB2312" w:hAnsi="仿宋_GB2312" w:eastAsia="仿宋_GB2312" w:cs="仿宋_GB2312"/>
          <w:color w:val="auto"/>
          <w:sz w:val="32"/>
          <w:szCs w:val="32"/>
          <w:lang w:val="en-US" w:eastAsia="zh-CN"/>
        </w:rPr>
        <w:t>70</w:t>
      </w:r>
      <w:r>
        <w:rPr>
          <w:rFonts w:hint="eastAsia" w:ascii="仿宋_GB2312" w:hAnsi="仿宋_GB2312" w:eastAsia="仿宋_GB2312" w:cs="仿宋_GB2312"/>
          <w:color w:val="auto"/>
          <w:sz w:val="32"/>
          <w:szCs w:val="32"/>
        </w:rPr>
        <w:t>%以上，部门联合“双随机”抽查任务占所有“双随机”抽查任务要达到6</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%以上</w:t>
      </w:r>
      <w:r>
        <w:rPr>
          <w:rFonts w:hint="eastAsia" w:ascii="仿宋_GB2312" w:hAnsi="仿宋_GB2312" w:eastAsia="仿宋_GB2312" w:cs="仿宋_GB2312"/>
          <w:color w:val="auto"/>
          <w:sz w:val="32"/>
          <w:szCs w:val="32"/>
          <w:lang w:eastAsia="zh-CN"/>
        </w:rPr>
        <w:t>。</w:t>
      </w:r>
    </w:p>
    <w:p w14:paraId="2B6EF00C">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kern w:val="0"/>
          <w:sz w:val="32"/>
          <w:szCs w:val="32"/>
        </w:rPr>
        <w:t>强化信用体系建设水平。</w:t>
      </w:r>
      <w:r>
        <w:rPr>
          <w:rFonts w:hint="eastAsia" w:ascii="仿宋_GB2312" w:hAnsi="仿宋_GB2312" w:eastAsia="仿宋_GB2312" w:cs="仿宋_GB2312"/>
          <w:color w:val="auto"/>
          <w:sz w:val="32"/>
          <w:szCs w:val="32"/>
        </w:rPr>
        <w:t>提升</w:t>
      </w:r>
      <w:r>
        <w:rPr>
          <w:rFonts w:hint="eastAsia" w:ascii="仿宋_GB2312" w:hAnsi="仿宋_GB2312" w:eastAsia="仿宋_GB2312" w:cs="仿宋_GB2312"/>
          <w:color w:val="auto"/>
          <w:kern w:val="0"/>
          <w:sz w:val="32"/>
          <w:szCs w:val="32"/>
        </w:rPr>
        <w:t>城市</w:t>
      </w:r>
      <w:r>
        <w:rPr>
          <w:rFonts w:hint="eastAsia" w:ascii="仿宋_GB2312" w:hAnsi="仿宋_GB2312" w:eastAsia="仿宋_GB2312" w:cs="仿宋_GB2312"/>
          <w:color w:val="auto"/>
          <w:sz w:val="32"/>
          <w:szCs w:val="32"/>
        </w:rPr>
        <w:t>信用状况监测效能，完善信用评价和分级分类监管机制，实行差异化监管措施。持续推进“双公示”、行政管理、合同履约、信用承诺等信用信息归集公示，加强企业水电气、新型农业经营主体、社保、医保等特定信用信息归集共享。创新拓展“信易+”惠企便民应用场景，推广更多领域实行专用信用报告代替无违法违规证明。全面落实信用修复工作机制，探索失信行为纠正信息共享、申请信息智能预填等便利化措施。大力推广使用“甘肃信易贷·陇信通”平台，</w:t>
      </w:r>
      <w:r>
        <w:rPr>
          <w:rFonts w:hint="eastAsia" w:ascii="仿宋_GB2312" w:hAnsi="仿宋_GB2312" w:eastAsia="仿宋_GB2312" w:cs="仿宋_GB2312"/>
          <w:color w:val="auto"/>
          <w:kern w:val="0"/>
          <w:sz w:val="32"/>
          <w:szCs w:val="32"/>
          <w:lang w:val="en-US" w:eastAsia="zh-CN"/>
        </w:rPr>
        <w:t>有效提升中小微企业融资便利水平。</w:t>
      </w:r>
    </w:p>
    <w:p w14:paraId="766D4296">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加强用地要素供给</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健全完善“多规合一”国土空间规划体系和“一张图”实施监督信息系统。严格耕地占补平衡管理，完善耕地占补平衡制度，加强补充耕地指标储备，优先保障“三个清单”重点项目落地。降低用地成本，对现有工业用地不改变土地用途且符合规划，通过增加厂房层数等方式增加容积率的，不增收土地价款。支持以长期租赁、先租后让、弹性年期出让等多种方式供应土地，全面启用土地二级市场线上交易服务功能。推动解决因用地手续不完善等导致的不动产“登记难”问题。</w:t>
      </w:r>
    </w:p>
    <w:p w14:paraId="101B5728">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auto"/>
          <w:sz w:val="32"/>
          <w:szCs w:val="32"/>
          <w:lang w:val="en-US" w:eastAsia="zh-CN"/>
        </w:rPr>
        <w:t>6.强化</w:t>
      </w:r>
      <w:r>
        <w:rPr>
          <w:rFonts w:hint="eastAsia" w:ascii="仿宋_GB2312" w:hAnsi="仿宋_GB2312" w:eastAsia="仿宋_GB2312" w:cs="仿宋_GB2312"/>
          <w:b/>
          <w:bCs/>
          <w:color w:val="auto"/>
          <w:sz w:val="32"/>
          <w:szCs w:val="32"/>
          <w:lang w:eastAsia="zh-CN"/>
        </w:rPr>
        <w:t>人力资源</w:t>
      </w:r>
      <w:r>
        <w:rPr>
          <w:rFonts w:hint="eastAsia" w:ascii="仿宋_GB2312" w:hAnsi="仿宋_GB2312" w:eastAsia="仿宋_GB2312" w:cs="仿宋_GB2312"/>
          <w:b/>
          <w:bCs/>
          <w:color w:val="auto"/>
          <w:sz w:val="32"/>
          <w:szCs w:val="32"/>
        </w:rPr>
        <w:t>服务保障</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rPr>
        <w:t>提升公共就业服务效能，开展“援企稳岗·服务千企”行动和“10+N”公共就业服务活动</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rPr>
        <w:t>全年举办线上线下招聘活动</w:t>
      </w:r>
      <w:r>
        <w:rPr>
          <w:rFonts w:hint="eastAsia" w:ascii="仿宋_GB2312" w:eastAsia="仿宋_GB2312"/>
          <w:color w:val="auto"/>
          <w:sz w:val="32"/>
          <w:szCs w:val="32"/>
          <w:lang w:val="en-US" w:eastAsia="zh-CN"/>
        </w:rPr>
        <w:t>70</w:t>
      </w:r>
      <w:r>
        <w:rPr>
          <w:rFonts w:hint="eastAsia" w:ascii="仿宋_GB2312" w:eastAsia="仿宋_GB2312"/>
          <w:color w:val="auto"/>
          <w:sz w:val="32"/>
          <w:szCs w:val="32"/>
        </w:rPr>
        <w:t>场次以上，帮助实现</w:t>
      </w:r>
      <w:r>
        <w:rPr>
          <w:rFonts w:hint="eastAsia" w:ascii="仿宋_GB2312" w:eastAsia="仿宋_GB2312"/>
          <w:color w:val="auto"/>
          <w:spacing w:val="-8"/>
          <w:sz w:val="32"/>
          <w:szCs w:val="32"/>
        </w:rPr>
        <w:t>就业</w:t>
      </w:r>
      <w:r>
        <w:rPr>
          <w:rFonts w:hint="eastAsia" w:ascii="仿宋_GB2312" w:eastAsia="仿宋_GB2312"/>
          <w:color w:val="auto"/>
          <w:spacing w:val="-8"/>
          <w:sz w:val="32"/>
          <w:szCs w:val="32"/>
          <w:lang w:val="en-US" w:eastAsia="zh-CN"/>
        </w:rPr>
        <w:t>1000</w:t>
      </w:r>
      <w:r>
        <w:rPr>
          <w:rFonts w:hint="eastAsia" w:ascii="仿宋_GB2312" w:eastAsia="仿宋_GB2312"/>
          <w:color w:val="auto"/>
          <w:spacing w:val="-8"/>
          <w:sz w:val="32"/>
          <w:szCs w:val="32"/>
        </w:rPr>
        <w:t>人次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trike w:val="0"/>
          <w:dstrike w:val="0"/>
          <w:color w:val="000000" w:themeColor="text1"/>
          <w:sz w:val="32"/>
          <w:szCs w:val="32"/>
          <w:lang w:eastAsia="zh-CN"/>
          <w14:textFill>
            <w14:solidFill>
              <w14:schemeClr w14:val="tx1"/>
            </w14:solidFill>
          </w14:textFill>
        </w:rPr>
        <w:t>提升</w:t>
      </w:r>
      <w:r>
        <w:rPr>
          <w:rFonts w:hint="eastAsia" w:ascii="仿宋_GB2312" w:hAnsi="仿宋_GB2312" w:eastAsia="仿宋_GB2312" w:cs="仿宋_GB2312"/>
          <w:color w:val="000000" w:themeColor="text1"/>
          <w:sz w:val="32"/>
          <w:szCs w:val="32"/>
          <w:lang w:eastAsia="zh-CN"/>
          <w14:textFill>
            <w14:solidFill>
              <w14:schemeClr w14:val="tx1"/>
            </w14:solidFill>
          </w14:textFill>
        </w:rPr>
        <w:t>零工市场（驿站）服务水平</w:t>
      </w:r>
      <w:r>
        <w:rPr>
          <w:rFonts w:hint="eastAsia" w:ascii="仿宋_GB2312" w:hAnsi="仿宋_GB2312" w:eastAsia="仿宋_GB2312" w:cs="仿宋_GB2312"/>
          <w:color w:val="000000" w:themeColor="text1"/>
          <w:sz w:val="32"/>
          <w:szCs w:val="32"/>
          <w14:textFill>
            <w14:solidFill>
              <w14:schemeClr w14:val="tx1"/>
            </w14:solidFill>
          </w14:textFill>
        </w:rPr>
        <w:t>，建立重点企业用工调度保障机制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385663B9">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督促铁路、公路、水运、水利、能源、机场等工程建设施工企业按照建设项目依法参加工伤保险，缴纳工伤保险费。放开灵活就业人员参保户籍限制要求，将更多的灵活就业人员、农民工、新就业形态人员纳入企业职工社保制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加大职业技能培训力度，</w:t>
      </w:r>
      <w:r>
        <w:rPr>
          <w:rFonts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rPr>
        <w:t>补贴性职业技能培训</w:t>
      </w:r>
      <w:r>
        <w:rPr>
          <w:rFonts w:hint="eastAsia" w:ascii="仿宋_GB2312" w:hAnsi="仿宋_GB2312" w:eastAsia="仿宋_GB2312" w:cs="仿宋_GB2312"/>
          <w:color w:val="auto"/>
          <w:sz w:val="32"/>
          <w:szCs w:val="32"/>
          <w:lang w:val="en-US" w:eastAsia="zh-CN"/>
        </w:rPr>
        <w:t>2800</w:t>
      </w:r>
      <w:r>
        <w:rPr>
          <w:rFonts w:ascii="仿宋_GB2312" w:hAnsi="仿宋_GB2312" w:eastAsia="仿宋_GB2312" w:cs="仿宋_GB2312"/>
          <w:color w:val="auto"/>
          <w:sz w:val="32"/>
          <w:szCs w:val="32"/>
        </w:rPr>
        <w:t>人次以上。</w:t>
      </w:r>
      <w:r>
        <w:rPr>
          <w:rFonts w:hint="eastAsia" w:ascii="仿宋_GB2312" w:hAnsi="仿宋_GB2312" w:eastAsia="仿宋_GB2312" w:cs="仿宋_GB2312"/>
          <w:color w:val="auto"/>
          <w:sz w:val="32"/>
          <w:szCs w:val="32"/>
          <w:lang w:eastAsia="zh-CN"/>
        </w:rPr>
        <w:t>实现养老、工伤、失业、社保、</w:t>
      </w:r>
      <w:r>
        <w:rPr>
          <w:rFonts w:hint="eastAsia" w:ascii="仿宋_GB2312" w:hAnsi="仿宋_GB2312" w:eastAsia="仿宋_GB2312" w:cs="仿宋_GB2312"/>
          <w:color w:val="auto"/>
          <w:sz w:val="32"/>
          <w:szCs w:val="32"/>
          <w:lang w:val="en-US" w:eastAsia="zh-CN"/>
        </w:rPr>
        <w:t>医保</w:t>
      </w:r>
      <w:r>
        <w:rPr>
          <w:rFonts w:hint="eastAsia" w:ascii="仿宋_GB2312" w:hAnsi="仿宋_GB2312" w:eastAsia="仿宋_GB2312" w:cs="仿宋_GB2312"/>
          <w:color w:val="auto"/>
          <w:sz w:val="32"/>
          <w:szCs w:val="32"/>
          <w:lang w:eastAsia="zh-CN"/>
        </w:rPr>
        <w:t>等业务“一窗通办”。</w:t>
      </w:r>
    </w:p>
    <w:p w14:paraId="2F9C226C">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val="en-US" w:eastAsia="zh-CN"/>
        </w:rPr>
        <w:t>7.提升区域协同创新水平。</w:t>
      </w:r>
      <w:r>
        <w:rPr>
          <w:rFonts w:hint="eastAsia" w:ascii="仿宋_GB2312" w:hAnsi="仿宋_GB2312" w:eastAsia="仿宋_GB2312" w:cs="仿宋_GB2312"/>
          <w:color w:val="auto"/>
          <w:kern w:val="0"/>
          <w:sz w:val="32"/>
          <w:szCs w:val="32"/>
          <w:lang w:val="en-US" w:eastAsia="zh-CN"/>
        </w:rPr>
        <w:t>加大对省级创新平台的争取、培育和建设力度，</w:t>
      </w:r>
      <w:r>
        <w:rPr>
          <w:rFonts w:hint="eastAsia" w:ascii="仿宋_GB2312" w:hAnsi="仿宋_GB2312" w:eastAsia="仿宋_GB2312" w:cs="仿宋_GB2312"/>
          <w:color w:val="auto"/>
          <w:kern w:val="0"/>
          <w:sz w:val="32"/>
          <w:szCs w:val="32"/>
        </w:rPr>
        <w:t>下好创新驱动发展“先手棋”</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持续优化“科技型中小企业—省级科技创新型企业—高新技术企业”梯次培育体系，推动更多“市场主体”向“创新主体”转变，打造梯度结构合理的创新型企业集群，力争年内高新技术企业、省级科技创新型企业、科技型中小企业达到</w:t>
      </w:r>
      <w:r>
        <w:rPr>
          <w:rFonts w:hint="eastAsia" w:ascii="仿宋_GB2312" w:hAnsi="仿宋_GB2312" w:eastAsia="仿宋_GB2312" w:cs="仿宋_GB2312"/>
          <w:color w:val="auto"/>
          <w:kern w:val="0"/>
          <w:sz w:val="32"/>
          <w:szCs w:val="32"/>
          <w:lang w:val="en-US" w:eastAsia="zh-CN"/>
        </w:rPr>
        <w:t>72</w:t>
      </w:r>
      <w:r>
        <w:rPr>
          <w:rFonts w:hint="eastAsia" w:ascii="仿宋_GB2312" w:hAnsi="仿宋_GB2312" w:eastAsia="仿宋_GB2312" w:cs="仿宋_GB2312"/>
          <w:color w:val="auto"/>
          <w:kern w:val="0"/>
          <w:sz w:val="32"/>
          <w:szCs w:val="32"/>
        </w:rPr>
        <w:t>家、51家、</w:t>
      </w:r>
      <w:r>
        <w:rPr>
          <w:rFonts w:hint="eastAsia" w:ascii="仿宋_GB2312" w:hAnsi="仿宋_GB2312" w:eastAsia="仿宋_GB2312" w:cs="仿宋_GB2312"/>
          <w:color w:val="auto"/>
          <w:kern w:val="0"/>
          <w:sz w:val="32"/>
          <w:szCs w:val="32"/>
          <w:lang w:val="en-US" w:eastAsia="zh-CN"/>
        </w:rPr>
        <w:t>113</w:t>
      </w:r>
      <w:r>
        <w:rPr>
          <w:rFonts w:hint="eastAsia" w:ascii="仿宋_GB2312" w:hAnsi="仿宋_GB2312" w:eastAsia="仿宋_GB2312" w:cs="仿宋_GB2312"/>
          <w:color w:val="auto"/>
          <w:kern w:val="0"/>
          <w:sz w:val="32"/>
          <w:szCs w:val="32"/>
        </w:rPr>
        <w:t>家。</w:t>
      </w:r>
    </w:p>
    <w:p w14:paraId="048510C5">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val="en-US" w:eastAsia="zh-CN"/>
        </w:rPr>
        <w:t>8.加强人才“引育留用”。</w:t>
      </w:r>
      <w:r>
        <w:rPr>
          <w:rFonts w:hint="eastAsia" w:ascii="仿宋_GB2312" w:hAnsi="仿宋_GB2312" w:eastAsia="仿宋_GB2312" w:cs="仿宋_GB2312"/>
          <w:color w:val="auto"/>
          <w:kern w:val="0"/>
          <w:sz w:val="32"/>
          <w:szCs w:val="32"/>
        </w:rPr>
        <w:t xml:space="preserve">深入实施张掖学子返乡筑梦、紧缺人才组团引进、高端人才柔性引进、在外优秀人才回流、在张高校人才留甘“五大计划”，持续推行“周末工程师”柔性引才机制，打好“双招双引”组合拳，持续优化改善人才存量、质量、结构。选拔（聘）新一轮区拔尖人才、市区科技特派员，实施“红烛之光”“提能强技”项目。落实领导干部直接联系服务优秀人才制度，健全人才引进后后续跟踪培养服务机制，落细“人才服务卡”“带编入企”等政策措施，集中开展人才宣传活动。 </w:t>
      </w:r>
    </w:p>
    <w:p w14:paraId="31BFA2B8">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rPr>
        <w:t>（二）</w:t>
      </w:r>
      <w:r>
        <w:rPr>
          <w:rFonts w:hint="eastAsia" w:ascii="楷体_GB2312" w:hAnsi="楷体_GB2312" w:eastAsia="楷体_GB2312" w:cs="楷体_GB2312"/>
          <w:b/>
          <w:bCs/>
          <w:color w:val="auto"/>
          <w:sz w:val="32"/>
          <w:szCs w:val="32"/>
          <w:lang w:eastAsia="zh-CN"/>
        </w:rPr>
        <w:t>着力提升法治化水平，保障企业合法权益</w:t>
      </w:r>
    </w:p>
    <w:p w14:paraId="07AAB79A">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lang w:eastAsia="zh-CN"/>
        </w:rPr>
        <w:t>强化</w:t>
      </w:r>
      <w:r>
        <w:rPr>
          <w:rFonts w:hint="eastAsia" w:ascii="仿宋_GB2312" w:hAnsi="仿宋_GB2312" w:eastAsia="仿宋_GB2312" w:cs="仿宋_GB2312"/>
          <w:b/>
          <w:bCs/>
          <w:color w:val="auto"/>
          <w:sz w:val="32"/>
          <w:szCs w:val="32"/>
        </w:rPr>
        <w:t>营商环境法治保障</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加大《甘肃省优化营商环境条例》的贯彻落实和普法宣传，建立配套法规政策“立改废释”长效机制，完善优化营商环境规则体系。围绕重点领域条款实施情况，深入企业和部门单位开展营商环境法治建设调研和监督检查，提升营商环境法治化、规范化、制度化水平。</w:t>
      </w:r>
    </w:p>
    <w:p w14:paraId="1B0B4EEC">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10.</w:t>
      </w:r>
      <w:r>
        <w:rPr>
          <w:rFonts w:hint="eastAsia" w:ascii="仿宋_GB2312" w:hAnsi="仿宋_GB2312" w:eastAsia="仿宋_GB2312" w:cs="仿宋_GB2312"/>
          <w:b/>
          <w:bCs/>
          <w:color w:val="auto"/>
          <w:sz w:val="32"/>
          <w:szCs w:val="32"/>
        </w:rPr>
        <w:t>完善</w:t>
      </w:r>
      <w:r>
        <w:rPr>
          <w:rFonts w:hint="eastAsia" w:ascii="仿宋_GB2312" w:hAnsi="仿宋_GB2312" w:eastAsia="仿宋_GB2312" w:cs="仿宋_GB2312"/>
          <w:b/>
          <w:bCs/>
          <w:color w:val="auto"/>
          <w:sz w:val="32"/>
          <w:szCs w:val="32"/>
          <w:lang w:eastAsia="zh-CN"/>
        </w:rPr>
        <w:t>商业</w:t>
      </w:r>
      <w:r>
        <w:rPr>
          <w:rFonts w:hint="eastAsia" w:ascii="仿宋_GB2312" w:hAnsi="仿宋_GB2312" w:eastAsia="仿宋_GB2312" w:cs="仿宋_GB2312"/>
          <w:b/>
          <w:bCs/>
          <w:color w:val="auto"/>
          <w:sz w:val="32"/>
          <w:szCs w:val="32"/>
        </w:rPr>
        <w:t>纠纷化解机制</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rPr>
        <w:t>健全调解、</w:t>
      </w:r>
      <w:r>
        <w:rPr>
          <w:rFonts w:hint="eastAsia" w:ascii="仿宋_GB2312" w:hAnsi="仿宋_GB2312" w:eastAsia="仿宋_GB2312" w:cs="仿宋_GB2312"/>
          <w:color w:val="auto"/>
          <w:sz w:val="32"/>
          <w:szCs w:val="32"/>
          <w:lang w:eastAsia="zh-CN"/>
        </w:rPr>
        <w:t>仲裁、</w:t>
      </w:r>
      <w:r>
        <w:rPr>
          <w:rFonts w:hint="eastAsia" w:ascii="仿宋_GB2312" w:hAnsi="仿宋_GB2312" w:eastAsia="仿宋_GB2312" w:cs="仿宋_GB2312"/>
          <w:color w:val="auto"/>
          <w:sz w:val="32"/>
          <w:szCs w:val="32"/>
        </w:rPr>
        <w:t>诉讼等有机衔接的多元化纠纷解决机制，鼓励市场主体选择商事调解机构解决商事争议纠纷。</w:t>
      </w:r>
      <w:r>
        <w:rPr>
          <w:rFonts w:hint="eastAsia" w:ascii="仿宋_GB2312" w:hAnsi="仿宋_GB2312" w:eastAsia="仿宋_GB2312" w:cs="仿宋_GB2312"/>
          <w:color w:val="auto"/>
          <w:sz w:val="32"/>
          <w:szCs w:val="32"/>
          <w:lang w:val="en-US" w:eastAsia="zh-CN"/>
        </w:rPr>
        <w:t>建立涉企案件办理风险评估机制，依法审慎作出处理。</w:t>
      </w:r>
      <w:r>
        <w:rPr>
          <w:rFonts w:hint="eastAsia" w:ascii="仿宋_GB2312" w:hAnsi="仿宋_GB2312" w:eastAsia="仿宋_GB2312" w:cs="仿宋_GB2312"/>
          <w:color w:val="auto"/>
          <w:kern w:val="2"/>
          <w:sz w:val="32"/>
          <w:szCs w:val="32"/>
          <w:lang w:val="en-US" w:eastAsia="zh-CN" w:bidi="ar-SA"/>
        </w:rPr>
        <w:t>推广公共法律服务进园区、进商圈、进企业、进商会开展专业服务。</w:t>
      </w:r>
      <w:r>
        <w:rPr>
          <w:rFonts w:hint="eastAsia" w:ascii="仿宋_GB2312" w:hAnsi="仿宋_GB2312" w:eastAsia="仿宋_GB2312" w:cs="仿宋_GB2312"/>
          <w:color w:val="auto"/>
          <w:sz w:val="32"/>
          <w:szCs w:val="32"/>
        </w:rPr>
        <w:t>民事一审涉企案件</w:t>
      </w:r>
      <w:r>
        <w:rPr>
          <w:rFonts w:hint="eastAsia" w:ascii="仿宋_GB2312" w:hAnsi="仿宋_GB2312" w:eastAsia="仿宋_GB2312" w:cs="仿宋_GB2312"/>
          <w:color w:val="auto"/>
          <w:sz w:val="32"/>
          <w:szCs w:val="32"/>
          <w:lang w:eastAsia="zh-CN"/>
        </w:rPr>
        <w:t>结案率、</w:t>
      </w:r>
      <w:r>
        <w:rPr>
          <w:rFonts w:hint="eastAsia" w:ascii="仿宋_GB2312" w:hAnsi="仿宋_GB2312" w:eastAsia="仿宋_GB2312" w:cs="仿宋_GB2312"/>
          <w:color w:val="auto"/>
          <w:sz w:val="32"/>
          <w:szCs w:val="32"/>
        </w:rPr>
        <w:t>法定审理期限内结案率</w:t>
      </w:r>
      <w:r>
        <w:rPr>
          <w:rFonts w:hint="eastAsia" w:ascii="仿宋_GB2312" w:hAnsi="仿宋_GB2312" w:eastAsia="仿宋_GB2312" w:cs="仿宋_GB2312"/>
          <w:color w:val="auto"/>
          <w:sz w:val="32"/>
          <w:szCs w:val="32"/>
          <w:lang w:val="en-US" w:eastAsia="zh-CN"/>
        </w:rPr>
        <w:t>均达98%以上</w:t>
      </w:r>
      <w:r>
        <w:rPr>
          <w:rFonts w:hint="eastAsia" w:ascii="仿宋_GB2312" w:hAnsi="仿宋_GB2312" w:eastAsia="仿宋_GB2312" w:cs="仿宋_GB2312"/>
          <w:color w:val="auto"/>
          <w:sz w:val="32"/>
          <w:szCs w:val="32"/>
        </w:rPr>
        <w:t>。劳动争议调解组织调解成功率达到</w:t>
      </w:r>
      <w:r>
        <w:rPr>
          <w:rFonts w:hint="eastAsia" w:ascii="仿宋_GB2312" w:hAnsi="仿宋_GB2312" w:eastAsia="仿宋_GB2312" w:cs="仿宋_GB2312"/>
          <w:color w:val="auto"/>
          <w:sz w:val="32"/>
          <w:szCs w:val="32"/>
          <w:lang w:val="en-US" w:eastAsia="zh-CN"/>
        </w:rPr>
        <w:t>75</w:t>
      </w:r>
      <w:r>
        <w:rPr>
          <w:rFonts w:hint="eastAsia" w:ascii="仿宋_GB2312" w:hAnsi="仿宋_GB2312" w:eastAsia="仿宋_GB2312" w:cs="仿宋_GB2312"/>
          <w:color w:val="auto"/>
          <w:sz w:val="32"/>
          <w:szCs w:val="32"/>
        </w:rPr>
        <w:t>%以上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仲裁结案率达到9</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%以上。</w:t>
      </w:r>
    </w:p>
    <w:p w14:paraId="057D67E5">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11.</w:t>
      </w:r>
      <w:r>
        <w:rPr>
          <w:rFonts w:hint="eastAsia" w:ascii="仿宋_GB2312" w:hAnsi="仿宋_GB2312" w:eastAsia="仿宋_GB2312" w:cs="仿宋_GB2312"/>
          <w:b/>
          <w:bCs/>
          <w:color w:val="auto"/>
          <w:sz w:val="32"/>
          <w:szCs w:val="32"/>
          <w:lang w:eastAsia="zh-CN"/>
        </w:rPr>
        <w:t>提升</w:t>
      </w:r>
      <w:r>
        <w:rPr>
          <w:rFonts w:hint="eastAsia" w:ascii="仿宋_GB2312" w:hAnsi="仿宋_GB2312" w:eastAsia="仿宋_GB2312" w:cs="仿宋_GB2312"/>
          <w:b/>
          <w:bCs/>
          <w:color w:val="auto"/>
          <w:sz w:val="32"/>
          <w:szCs w:val="32"/>
        </w:rPr>
        <w:t>涉企诉讼服务</w:t>
      </w:r>
      <w:r>
        <w:rPr>
          <w:rFonts w:hint="eastAsia" w:ascii="仿宋_GB2312" w:hAnsi="仿宋_GB2312" w:eastAsia="仿宋_GB2312" w:cs="仿宋_GB2312"/>
          <w:b/>
          <w:bCs/>
          <w:color w:val="auto"/>
          <w:sz w:val="32"/>
          <w:szCs w:val="32"/>
          <w:lang w:eastAsia="zh-CN"/>
        </w:rPr>
        <w:t>水平</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rPr>
        <w:t>加快“数字法院”建设，优化在线庭审、</w:t>
      </w:r>
      <w:r>
        <w:rPr>
          <w:rFonts w:hint="eastAsia" w:ascii="仿宋_GB2312" w:hAnsi="仿宋_GB2312" w:eastAsia="仿宋_GB2312" w:cs="仿宋_GB2312"/>
          <w:color w:val="auto"/>
          <w:sz w:val="32"/>
          <w:szCs w:val="32"/>
          <w:lang w:eastAsia="zh-CN"/>
        </w:rPr>
        <w:t>网上缴退费</w:t>
      </w:r>
      <w:r>
        <w:rPr>
          <w:rFonts w:hint="eastAsia" w:ascii="仿宋_GB2312" w:hAnsi="仿宋_GB2312" w:eastAsia="仿宋_GB2312" w:cs="仿宋_GB2312"/>
          <w:color w:val="auto"/>
          <w:sz w:val="32"/>
          <w:szCs w:val="32"/>
        </w:rPr>
        <w:t>、审判进度实时跟踪等功能。完善涉企诉讼绿色通道，大力推广“一站式”电子诉讼</w:t>
      </w:r>
      <w:r>
        <w:rPr>
          <w:rFonts w:hint="eastAsia" w:ascii="仿宋_GB2312" w:hAnsi="仿宋_GB2312" w:eastAsia="仿宋_GB2312" w:cs="仿宋_GB2312"/>
          <w:color w:val="auto"/>
          <w:sz w:val="32"/>
          <w:szCs w:val="32"/>
          <w:lang w:val="en-US" w:eastAsia="zh-CN"/>
        </w:rPr>
        <w:t>服务，开展在线立案、</w:t>
      </w:r>
    </w:p>
    <w:p w14:paraId="13216BA1">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调解、证据交换、询问、庭审、送达，涉企案件网上立案率达40%以上。</w:t>
      </w:r>
      <w:r>
        <w:rPr>
          <w:rFonts w:hint="eastAsia" w:ascii="仿宋_GB2312" w:hAnsi="仿宋_GB2312" w:eastAsia="仿宋_GB2312" w:cs="仿宋_GB2312"/>
          <w:color w:val="auto"/>
          <w:sz w:val="32"/>
          <w:szCs w:val="32"/>
        </w:rPr>
        <w:t>加强对当事人的程序引导，小额诉讼程序和</w:t>
      </w:r>
      <w:r>
        <w:rPr>
          <w:rFonts w:hint="eastAsia" w:ascii="仿宋_GB2312" w:hAnsi="仿宋_GB2312" w:eastAsia="仿宋_GB2312" w:cs="仿宋_GB2312"/>
          <w:color w:val="auto"/>
          <w:sz w:val="32"/>
          <w:szCs w:val="32"/>
          <w:lang w:val="en-US" w:eastAsia="zh-CN"/>
        </w:rPr>
        <w:t>简易程序适用</w:t>
      </w:r>
      <w:r>
        <w:rPr>
          <w:rFonts w:hint="eastAsia" w:ascii="仿宋_GB2312" w:hAnsi="仿宋_GB2312" w:eastAsia="仿宋_GB2312" w:cs="仿宋_GB2312"/>
          <w:color w:val="auto"/>
          <w:sz w:val="32"/>
          <w:szCs w:val="32"/>
        </w:rPr>
        <w:t>率</w:t>
      </w:r>
      <w:r>
        <w:rPr>
          <w:rFonts w:hint="eastAsia" w:ascii="仿宋_GB2312" w:hAnsi="仿宋_GB2312" w:eastAsia="仿宋_GB2312" w:cs="仿宋_GB2312"/>
          <w:color w:val="auto"/>
          <w:sz w:val="32"/>
          <w:szCs w:val="32"/>
          <w:lang w:val="en-US" w:eastAsia="zh-CN"/>
        </w:rPr>
        <w:t>分别达25%、55%以上</w:t>
      </w:r>
      <w:r>
        <w:rPr>
          <w:rFonts w:hint="eastAsia" w:ascii="仿宋_GB2312" w:hAnsi="仿宋_GB2312" w:eastAsia="仿宋_GB2312" w:cs="仿宋_GB2312"/>
          <w:color w:val="auto"/>
          <w:sz w:val="32"/>
          <w:szCs w:val="32"/>
        </w:rPr>
        <w:t>。</w:t>
      </w:r>
    </w:p>
    <w:p w14:paraId="51BDEEFF">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12.</w:t>
      </w:r>
      <w:r>
        <w:rPr>
          <w:rFonts w:hint="eastAsia" w:ascii="仿宋_GB2312" w:hAnsi="仿宋_GB2312" w:eastAsia="仿宋_GB2312" w:cs="仿宋_GB2312"/>
          <w:b/>
          <w:bCs/>
          <w:color w:val="auto"/>
          <w:sz w:val="32"/>
          <w:szCs w:val="32"/>
        </w:rPr>
        <w:t>提高审判执行质效</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rPr>
        <w:t>推动“立审执”一体化，促进生效裁判自动履行，优化“司法建议”制度，提升裁判文书的确定性和可执行性。深化执行联动机制，探索推进不动产、机动车、矿业权、公积金司法查控协同网办，提升执行查控效率。打造“专业审判+全域协同+跨域联动”司法护企体系，为护航园区企业高质量发展提供优质司法服务和保障。民商事案件</w:t>
      </w:r>
      <w:r>
        <w:rPr>
          <w:rFonts w:hint="eastAsia" w:ascii="仿宋_GB2312" w:hAnsi="仿宋_GB2312" w:eastAsia="仿宋_GB2312" w:cs="仿宋_GB2312"/>
          <w:color w:val="auto"/>
          <w:sz w:val="32"/>
          <w:szCs w:val="32"/>
          <w:lang w:eastAsia="zh-CN"/>
        </w:rPr>
        <w:t>执行到位率达</w:t>
      </w:r>
      <w:r>
        <w:rPr>
          <w:rFonts w:hint="eastAsia" w:ascii="仿宋_GB2312" w:hAnsi="仿宋_GB2312" w:eastAsia="仿宋_GB2312" w:cs="仿宋_GB2312"/>
          <w:color w:val="auto"/>
          <w:sz w:val="32"/>
          <w:szCs w:val="32"/>
          <w:lang w:val="en-US" w:eastAsia="zh-CN"/>
        </w:rPr>
        <w:t>65％以上，平均结案</w:t>
      </w:r>
      <w:r>
        <w:rPr>
          <w:rFonts w:hint="eastAsia" w:ascii="仿宋_GB2312" w:hAnsi="仿宋_GB2312" w:eastAsia="仿宋_GB2312" w:cs="仿宋_GB2312"/>
          <w:color w:val="auto"/>
          <w:sz w:val="32"/>
          <w:szCs w:val="32"/>
        </w:rPr>
        <w:t>时</w:t>
      </w:r>
      <w:r>
        <w:rPr>
          <w:rFonts w:hint="eastAsia" w:ascii="仿宋_GB2312" w:hAnsi="仿宋_GB2312" w:eastAsia="仿宋_GB2312" w:cs="仿宋_GB2312"/>
          <w:color w:val="auto"/>
          <w:sz w:val="32"/>
          <w:szCs w:val="32"/>
          <w:lang w:val="en-US" w:eastAsia="zh-CN"/>
        </w:rPr>
        <w:t>间不超过75天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首执案件</w:t>
      </w:r>
      <w:r>
        <w:rPr>
          <w:rFonts w:hint="eastAsia" w:ascii="仿宋_GB2312" w:hAnsi="仿宋_GB2312" w:eastAsia="仿宋_GB2312" w:cs="仿宋_GB2312"/>
          <w:color w:val="auto"/>
          <w:sz w:val="32"/>
          <w:szCs w:val="32"/>
          <w:lang w:eastAsia="zh-CN"/>
        </w:rPr>
        <w:t>终本率</w:t>
      </w:r>
      <w:r>
        <w:rPr>
          <w:rFonts w:hint="eastAsia" w:ascii="仿宋_GB2312" w:hAnsi="仿宋_GB2312" w:eastAsia="仿宋_GB2312" w:cs="仿宋_GB2312"/>
          <w:color w:val="auto"/>
          <w:sz w:val="32"/>
          <w:szCs w:val="32"/>
          <w:lang w:val="en-US" w:eastAsia="zh-CN"/>
        </w:rPr>
        <w:t>不高于18%。</w:t>
      </w:r>
    </w:p>
    <w:p w14:paraId="726298AE">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楷体_GB2312" w:hAnsi="楷体_GB2312" w:eastAsia="楷体_GB2312" w:cs="楷体_GB2312"/>
          <w:color w:val="auto"/>
          <w:sz w:val="32"/>
          <w:szCs w:val="32"/>
          <w:lang w:eastAsia="zh-CN"/>
        </w:rPr>
      </w:pPr>
      <w:r>
        <w:rPr>
          <w:rFonts w:hint="eastAsia" w:ascii="仿宋_GB2312" w:hAnsi="仿宋_GB2312" w:eastAsia="仿宋_GB2312" w:cs="仿宋_GB2312"/>
          <w:b/>
          <w:bCs/>
          <w:color w:val="auto"/>
          <w:sz w:val="32"/>
          <w:szCs w:val="32"/>
          <w:lang w:val="en-US" w:eastAsia="zh-CN"/>
        </w:rPr>
        <w:t>13.</w:t>
      </w:r>
      <w:r>
        <w:rPr>
          <w:rFonts w:hint="eastAsia" w:ascii="仿宋_GB2312" w:hAnsi="仿宋_GB2312" w:eastAsia="仿宋_GB2312" w:cs="仿宋_GB2312"/>
          <w:b/>
          <w:bCs/>
          <w:color w:val="auto"/>
          <w:sz w:val="32"/>
          <w:szCs w:val="32"/>
        </w:rPr>
        <w:t>提升破产办理</w:t>
      </w:r>
      <w:r>
        <w:rPr>
          <w:rFonts w:hint="eastAsia" w:ascii="仿宋_GB2312" w:hAnsi="仿宋_GB2312" w:eastAsia="仿宋_GB2312" w:cs="仿宋_GB2312"/>
          <w:b/>
          <w:bCs/>
          <w:color w:val="auto"/>
          <w:sz w:val="32"/>
          <w:szCs w:val="32"/>
          <w:lang w:eastAsia="zh-CN"/>
        </w:rPr>
        <w:t>效率</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rPr>
        <w:t>健全</w:t>
      </w:r>
      <w:r>
        <w:rPr>
          <w:rFonts w:hint="eastAsia" w:ascii="仿宋_GB2312" w:hAnsi="仿宋_GB2312" w:eastAsia="仿宋_GB2312" w:cs="仿宋_GB2312"/>
          <w:color w:val="auto"/>
          <w:sz w:val="32"/>
          <w:szCs w:val="32"/>
          <w:lang w:val="en-US" w:eastAsia="zh-CN"/>
        </w:rPr>
        <w:t>完善</w:t>
      </w:r>
      <w:r>
        <w:rPr>
          <w:rFonts w:hint="eastAsia" w:ascii="仿宋_GB2312" w:hAnsi="仿宋_GB2312" w:eastAsia="仿宋_GB2312" w:cs="仿宋_GB2312"/>
          <w:color w:val="auto"/>
          <w:sz w:val="32"/>
          <w:szCs w:val="32"/>
        </w:rPr>
        <w:t>破产案件繁简分流、简案快审、执行案件移送破产审查等机制。探索危困企业预重整拯救机制，优化破产重整企业信用修复，建立破产管理人分级管理和考核管理机制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允许破产听证会通过线上方式召开。深化破产案件府院联动，落实破产企业涉税优惠政策，解决不动产登记、过户办理、职工安</w:t>
      </w:r>
      <w:r>
        <w:rPr>
          <w:rFonts w:hint="eastAsia" w:ascii="仿宋_GB2312" w:hAnsi="仿宋_GB2312" w:eastAsia="仿宋_GB2312" w:cs="仿宋_GB2312"/>
          <w:color w:val="auto"/>
          <w:sz w:val="32"/>
          <w:szCs w:val="32"/>
          <w:lang w:eastAsia="zh-CN"/>
        </w:rPr>
        <w:t>置等</w:t>
      </w:r>
      <w:r>
        <w:rPr>
          <w:rFonts w:hint="eastAsia" w:ascii="仿宋_GB2312" w:hAnsi="仿宋_GB2312" w:eastAsia="仿宋_GB2312" w:cs="仿宋_GB2312"/>
          <w:color w:val="auto"/>
          <w:sz w:val="32"/>
          <w:szCs w:val="32"/>
        </w:rPr>
        <w:t>难点堵点问题，推动破产财产多元化处置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提高破产援助资金审批拨付质效。</w:t>
      </w:r>
      <w:r>
        <w:rPr>
          <w:rFonts w:hint="eastAsia" w:ascii="仿宋_GB2312" w:hAnsi="仿宋_GB2312" w:eastAsia="仿宋_GB2312" w:cs="仿宋_GB2312"/>
          <w:color w:val="auto"/>
          <w:sz w:val="32"/>
          <w:szCs w:val="32"/>
          <w:lang w:eastAsia="zh-CN"/>
        </w:rPr>
        <w:t>破产案件结案率达</w:t>
      </w:r>
      <w:r>
        <w:rPr>
          <w:rFonts w:hint="eastAsia" w:ascii="仿宋_GB2312" w:hAnsi="仿宋_GB2312" w:eastAsia="仿宋_GB2312" w:cs="仿宋_GB2312"/>
          <w:color w:val="auto"/>
          <w:sz w:val="32"/>
          <w:szCs w:val="32"/>
          <w:lang w:val="en-US" w:eastAsia="zh-CN"/>
        </w:rPr>
        <w:t>85％以上。</w:t>
      </w:r>
    </w:p>
    <w:p w14:paraId="71A2717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color w:val="auto"/>
          <w:lang w:val="en-US" w:eastAsia="zh-CN"/>
        </w:rPr>
      </w:pPr>
      <w:r>
        <w:rPr>
          <w:rFonts w:hint="eastAsia" w:ascii="楷体_GB2312" w:hAnsi="楷体_GB2312" w:eastAsia="楷体_GB2312" w:cs="楷体_GB2312"/>
          <w:b/>
          <w:bCs/>
          <w:color w:val="auto"/>
          <w:sz w:val="32"/>
          <w:szCs w:val="32"/>
          <w:lang w:val="en-US" w:eastAsia="zh-CN"/>
        </w:rPr>
        <w:t>（三）着力提升国际化水平，扩大对外开放能级</w:t>
      </w:r>
    </w:p>
    <w:p w14:paraId="7682A5E0">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sz w:val="32"/>
          <w:szCs w:val="32"/>
          <w:lang w:val="en-US" w:eastAsia="zh-CN"/>
        </w:rPr>
        <w:t>14.</w:t>
      </w:r>
      <w:r>
        <w:rPr>
          <w:rFonts w:hint="eastAsia" w:ascii="仿宋_GB2312" w:hAnsi="仿宋_GB2312" w:eastAsia="仿宋_GB2312" w:cs="仿宋_GB2312"/>
          <w:b/>
          <w:bCs/>
          <w:color w:val="auto"/>
          <w:sz w:val="32"/>
          <w:szCs w:val="32"/>
        </w:rPr>
        <w:t>打造高</w:t>
      </w:r>
      <w:r>
        <w:rPr>
          <w:rFonts w:hint="eastAsia" w:ascii="仿宋_GB2312" w:hAnsi="仿宋_GB2312" w:eastAsia="仿宋_GB2312" w:cs="仿宋_GB2312"/>
          <w:b/>
          <w:bCs/>
          <w:color w:val="auto"/>
          <w:sz w:val="32"/>
          <w:szCs w:val="32"/>
          <w:lang w:val="en-US" w:eastAsia="zh-CN"/>
        </w:rPr>
        <w:t>水平</w:t>
      </w:r>
      <w:r>
        <w:rPr>
          <w:rFonts w:hint="eastAsia" w:ascii="仿宋_GB2312" w:hAnsi="仿宋_GB2312" w:eastAsia="仿宋_GB2312" w:cs="仿宋_GB2312"/>
          <w:b/>
          <w:bCs/>
          <w:color w:val="auto"/>
          <w:sz w:val="32"/>
          <w:szCs w:val="32"/>
        </w:rPr>
        <w:t>对外开放平台</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kern w:val="0"/>
          <w:sz w:val="32"/>
          <w:szCs w:val="32"/>
          <w:lang w:eastAsia="zh-CN"/>
        </w:rPr>
        <w:t xml:space="preserve">深度融入高质量共建“一带一路”，积极参与西部陆海新通道建设，积极拓展甘州区与重点国家和地区的经贸合作平台，全力加快张掖中铁智慧物流园项目建设，全年发运国际货运班列20列以上，实现国际货运班列常态化运行。进一步加大外贸进出口企业参会参展力度，组织企业参加广交会、进博会、兰洽会等境内外各类节会展会平台，持续提升外贸进出口企业和商品对外知名度、吸引力。开展霍尔果斯、凭祥等口岸外贸产销对接会，组织区内发年农产品、茂雄领鲜等农产品进出口企业和纯净种苗、弘一种业等蔬菜花卉种子进出口企业开展产品推介和市场对接，为企业寻订单、扩市场，有效扩大国际经贸交流合作。 </w:t>
      </w:r>
    </w:p>
    <w:p w14:paraId="2EC0ABFB">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sz w:val="32"/>
          <w:szCs w:val="32"/>
          <w:lang w:val="en-US" w:eastAsia="zh-CN"/>
        </w:rPr>
        <w:t>15.</w:t>
      </w:r>
      <w:r>
        <w:rPr>
          <w:rFonts w:hint="eastAsia" w:ascii="仿宋_GB2312" w:hAnsi="仿宋_GB2312" w:eastAsia="仿宋_GB2312" w:cs="仿宋_GB2312"/>
          <w:b/>
          <w:bCs/>
          <w:color w:val="auto"/>
          <w:sz w:val="32"/>
          <w:szCs w:val="32"/>
        </w:rPr>
        <w:t>提升对外贸易便利化水平</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kern w:val="0"/>
          <w:sz w:val="32"/>
          <w:szCs w:val="32"/>
          <w:lang w:eastAsia="zh-CN"/>
        </w:rPr>
        <w:t>充分发挥市级外经贸平台作用，靠前为区内外贸企业提供注册、备案、报关、检验等手续帮办代办服务，进一步缩短办事流程，提高办结效率。深化国际贸易“单一窗口”推广应用，加强业务培训，组织区内外贸企业参加国家省市各类国际贸易“单一窗口”培训，帮助企业熟练掌握“单一窗口” 报关报检相关流程，持续提升通关效率。高效盘活霍尔果斯、凭详等口岸仓储设施存量，</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加快建</w:t>
      </w:r>
      <w:r>
        <w:rPr>
          <w:rFonts w:hint="eastAsia" w:ascii="仿宋_GB2312" w:hAnsi="仿宋_GB2312" w:eastAsia="仿宋_GB2312" w:cs="仿宋_GB2312"/>
          <w:strike w:val="0"/>
          <w:dstrike w:val="0"/>
          <w:color w:val="000000" w:themeColor="text1"/>
          <w:kern w:val="0"/>
          <w:sz w:val="32"/>
          <w:szCs w:val="32"/>
          <w:lang w:eastAsia="zh-CN"/>
          <w14:textFill>
            <w14:solidFill>
              <w14:schemeClr w14:val="tx1"/>
            </w14:solidFill>
          </w14:textFill>
        </w:rPr>
        <w:t>设</w:t>
      </w:r>
      <w:r>
        <w:rPr>
          <w:rFonts w:hint="eastAsia" w:ascii="仿宋_GB2312" w:hAnsi="仿宋_GB2312" w:eastAsia="仿宋_GB2312" w:cs="仿宋_GB2312"/>
          <w:color w:val="auto"/>
          <w:kern w:val="0"/>
          <w:sz w:val="32"/>
          <w:szCs w:val="32"/>
          <w:lang w:eastAsia="zh-CN"/>
        </w:rPr>
        <w:t xml:space="preserve">甘州区外贸进出口货物集中仓储区，提升外贸进出口输转能力和进出口仓储便捷化水平。 </w:t>
      </w:r>
    </w:p>
    <w:p w14:paraId="44C2CFFB">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color w:val="auto"/>
        </w:rPr>
      </w:pPr>
      <w:r>
        <w:rPr>
          <w:rFonts w:hint="eastAsia" w:ascii="仿宋_GB2312" w:hAnsi="仿宋_GB2312" w:eastAsia="仿宋_GB2312" w:cs="仿宋_GB2312"/>
          <w:b/>
          <w:bCs/>
          <w:color w:val="auto"/>
          <w:sz w:val="32"/>
          <w:szCs w:val="32"/>
          <w:lang w:val="en-US" w:eastAsia="zh-CN"/>
        </w:rPr>
        <w:t>16.</w:t>
      </w:r>
      <w:r>
        <w:rPr>
          <w:rFonts w:hint="eastAsia" w:ascii="仿宋_GB2312" w:hAnsi="仿宋_GB2312" w:eastAsia="仿宋_GB2312" w:cs="仿宋_GB2312"/>
          <w:b/>
          <w:bCs/>
          <w:color w:val="auto"/>
          <w:sz w:val="32"/>
          <w:szCs w:val="32"/>
          <w:lang w:eastAsia="zh-CN"/>
        </w:rPr>
        <w:t>优化</w:t>
      </w:r>
      <w:r>
        <w:rPr>
          <w:rFonts w:hint="eastAsia" w:ascii="仿宋_GB2312" w:hAnsi="仿宋_GB2312" w:eastAsia="仿宋_GB2312" w:cs="仿宋_GB2312"/>
          <w:b/>
          <w:bCs/>
          <w:color w:val="auto"/>
          <w:sz w:val="32"/>
          <w:szCs w:val="32"/>
        </w:rPr>
        <w:t>外商投资服务</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i w:val="0"/>
          <w:caps w:val="0"/>
          <w:color w:val="auto"/>
          <w:spacing w:val="0"/>
          <w:kern w:val="0"/>
          <w:sz w:val="32"/>
          <w:szCs w:val="32"/>
          <w:shd w:val="clear" w:fill="FFFFFF"/>
          <w:lang w:val="en-US" w:eastAsia="zh-CN" w:bidi="ar"/>
        </w:rPr>
        <w:t>严格落实外商投资准入前国民待遇加负面清单管理制度。对外资企业高频事项实行“一站式”服务，公布商业投资指南和投资机会清单，健全外商投资企业投诉工作机制，保障外资合法权益。建立外商外资企业常态化走访调研机制，每季度对外商外资企业进行走访调研，详细掌握企业生产经营实际，梳理汇总企业发展难题，助力外资外贸企业持续发展壮大。 </w:t>
      </w:r>
      <w:r>
        <w:rPr>
          <w:color w:val="auto"/>
        </w:rPr>
        <w:t xml:space="preserve"> </w:t>
      </w:r>
    </w:p>
    <w:p w14:paraId="24AB1B6B">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color w:val="auto"/>
          <w:sz w:val="32"/>
          <w:szCs w:val="32"/>
          <w:lang w:val="en-US" w:eastAsia="zh-CN"/>
        </w:rPr>
        <w:t>17.</w:t>
      </w:r>
      <w:r>
        <w:rPr>
          <w:rFonts w:hint="eastAsia" w:ascii="仿宋_GB2312" w:hAnsi="仿宋_GB2312" w:eastAsia="仿宋_GB2312" w:cs="仿宋_GB2312"/>
          <w:b/>
          <w:bCs/>
          <w:color w:val="auto"/>
          <w:sz w:val="32"/>
          <w:szCs w:val="32"/>
          <w:lang w:eastAsia="zh-CN"/>
        </w:rPr>
        <w:t>健全</w:t>
      </w:r>
      <w:r>
        <w:rPr>
          <w:rFonts w:hint="eastAsia" w:ascii="仿宋_GB2312" w:hAnsi="仿宋_GB2312" w:eastAsia="仿宋_GB2312" w:cs="仿宋_GB2312"/>
          <w:b/>
          <w:bCs/>
          <w:color w:val="auto"/>
          <w:sz w:val="32"/>
          <w:szCs w:val="32"/>
        </w:rPr>
        <w:t>对外投资服务体系</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为对外投资企业提供信息共享、项目对接等一站式服务。推广跨境金融服务平台，推动企业跨境结算及投融资更加高效便利，维护外汇市场稳定。积极培育外贸主体，为有潜力地走出去的企业提供业务指导及咨询服务。积极搭建涉外交流平台，推动辖区内律师事务所、仲裁等机构拓展涉外服务业务，帮助企业规避国际投资贸易风险。 </w:t>
      </w:r>
    </w:p>
    <w:p w14:paraId="4A6D86CA">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（四）</w:t>
      </w:r>
      <w:r>
        <w:rPr>
          <w:rFonts w:hint="eastAsia" w:ascii="楷体_GB2312" w:hAnsi="楷体_GB2312" w:eastAsia="楷体_GB2312" w:cs="楷体_GB2312"/>
          <w:color w:val="auto"/>
          <w:sz w:val="32"/>
          <w:szCs w:val="32"/>
          <w:lang w:eastAsia="zh-CN"/>
        </w:rPr>
        <w:t>着力提升便利化水平，打造优质服务平台</w:t>
      </w:r>
    </w:p>
    <w:p w14:paraId="22AE6D73">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18.</w:t>
      </w:r>
      <w:r>
        <w:rPr>
          <w:rFonts w:hint="eastAsia" w:ascii="仿宋_GB2312" w:hAnsi="仿宋_GB2312" w:eastAsia="仿宋_GB2312" w:cs="仿宋_GB2312"/>
          <w:b/>
          <w:bCs/>
          <w:color w:val="auto"/>
          <w:sz w:val="32"/>
          <w:szCs w:val="32"/>
        </w:rPr>
        <w:t>提升工程项目审批质效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i w:val="0"/>
          <w:caps w:val="0"/>
          <w:color w:val="auto"/>
          <w:spacing w:val="0"/>
          <w:kern w:val="0"/>
          <w:sz w:val="32"/>
          <w:szCs w:val="32"/>
          <w:shd w:val="clear" w:fill="FFFFFF"/>
          <w:lang w:val="en-US" w:eastAsia="zh-CN" w:bidi="ar"/>
        </w:rPr>
        <w:t>优化投资项目审批流程，</w:t>
      </w:r>
      <w:r>
        <w:rPr>
          <w:rFonts w:hint="eastAsia" w:ascii="仿宋_GB2312" w:hAnsi="仿宋_GB2312" w:eastAsia="仿宋_GB2312" w:cs="仿宋_GB2312"/>
          <w:color w:val="auto"/>
          <w:sz w:val="32"/>
          <w:szCs w:val="32"/>
          <w:lang w:val="en-US" w:eastAsia="zh-CN"/>
        </w:rPr>
        <w:t>推行</w:t>
      </w:r>
      <w:r>
        <w:rPr>
          <w:rFonts w:hint="eastAsia" w:ascii="仿宋_GB2312" w:hAnsi="仿宋_GB2312" w:eastAsia="仿宋_GB2312" w:cs="仿宋_GB2312"/>
          <w:i w:val="0"/>
          <w:caps w:val="0"/>
          <w:color w:val="auto"/>
          <w:spacing w:val="0"/>
          <w:kern w:val="0"/>
          <w:sz w:val="32"/>
          <w:szCs w:val="32"/>
          <w:shd w:val="clear" w:fill="FFFFFF"/>
          <w:lang w:val="en" w:eastAsia="zh-CN" w:bidi="ar"/>
        </w:rPr>
        <w:t>项目前期联合介入“一单五清”</w:t>
      </w:r>
      <w:r>
        <w:rPr>
          <w:rFonts w:hint="eastAsia" w:ascii="仿宋_GB2312" w:hAnsi="仿宋_GB2312" w:eastAsia="仿宋_GB2312" w:cs="仿宋_GB2312"/>
          <w:i w:val="0"/>
          <w:caps w:val="0"/>
          <w:color w:val="auto"/>
          <w:spacing w:val="0"/>
          <w:kern w:val="0"/>
          <w:sz w:val="32"/>
          <w:szCs w:val="32"/>
          <w:shd w:val="clear" w:fill="FFFFFF"/>
          <w:lang w:val="en-US" w:eastAsia="zh-CN" w:bidi="ar"/>
        </w:rPr>
        <w:t>模式</w:t>
      </w:r>
      <w:r>
        <w:rPr>
          <w:rFonts w:hint="eastAsia" w:ascii="仿宋_GB2312" w:hAnsi="仿宋_GB2312" w:eastAsia="仿宋_GB2312" w:cs="仿宋_GB2312"/>
          <w:i w:val="0"/>
          <w:caps w:val="0"/>
          <w:color w:val="auto"/>
          <w:spacing w:val="0"/>
          <w:kern w:val="0"/>
          <w:sz w:val="32"/>
          <w:szCs w:val="32"/>
          <w:shd w:val="clear" w:fill="FFFFFF"/>
          <w:lang w:val="en" w:eastAsia="zh-CN" w:bidi="ar"/>
        </w:rPr>
        <w:t>。</w:t>
      </w:r>
      <w:r>
        <w:rPr>
          <w:rFonts w:hint="eastAsia" w:ascii="仿宋_GB2312" w:hAnsi="仿宋_GB2312" w:eastAsia="仿宋_GB2312" w:cs="仿宋_GB2312"/>
          <w:i w:val="0"/>
          <w:caps w:val="0"/>
          <w:color w:val="auto"/>
          <w:spacing w:val="0"/>
          <w:kern w:val="0"/>
          <w:sz w:val="32"/>
          <w:szCs w:val="32"/>
          <w:shd w:val="clear" w:fill="FFFFFF"/>
          <w:lang w:val="en-US" w:eastAsia="zh-CN" w:bidi="ar"/>
        </w:rPr>
        <w:t>深化审批事项“容缺受理”“承诺审批”，健全工程建设项目部门联动办理机制和审批服务清单化管理，事项“并联审批率”提升至90%以上。推进工程建设项目全生命周期数字化管理改革，电子证照应用覆盖面提升至100%。持续深化“分阶段”办理施工许可、“分段式”联合验收。探索推行施工许可“三证合一”改革</w:t>
      </w:r>
      <w:r>
        <w:rPr>
          <w:rFonts w:hint="eastAsia" w:ascii="仿宋_GB2312" w:hAnsi="仿宋_GB2312" w:eastAsia="仿宋_GB2312" w:cs="仿宋_GB2312"/>
          <w:i w:val="0"/>
          <w:caps w:val="0"/>
          <w:color w:val="auto"/>
          <w:spacing w:val="-6"/>
          <w:kern w:val="0"/>
          <w:sz w:val="32"/>
          <w:szCs w:val="32"/>
          <w:shd w:val="clear" w:fill="FFFFFF"/>
          <w:lang w:val="en-US" w:eastAsia="zh-CN" w:bidi="ar"/>
        </w:rPr>
        <w:t>。</w:t>
      </w:r>
      <w:r>
        <w:rPr>
          <w:rFonts w:hint="eastAsia" w:ascii="仿宋_GB2312" w:hAnsi="仿宋_GB2312" w:eastAsia="仿宋_GB2312" w:cs="仿宋_GB2312"/>
          <w:i w:val="0"/>
          <w:caps w:val="0"/>
          <w:color w:val="auto"/>
          <w:spacing w:val="0"/>
          <w:kern w:val="0"/>
          <w:sz w:val="32"/>
          <w:szCs w:val="32"/>
          <w:shd w:val="clear" w:fill="FFFFFF"/>
          <w:lang w:val="en-US" w:eastAsia="zh-CN" w:bidi="ar"/>
        </w:rPr>
        <w:t>深化“多测合一”，实现测绘成果跨部门互认。</w:t>
      </w:r>
      <w:r>
        <w:rPr>
          <w:rFonts w:hint="eastAsia" w:ascii="仿宋_GB2312" w:hAnsi="仿宋_GB2312" w:eastAsia="仿宋_GB2312" w:cs="仿宋_GB2312"/>
          <w:color w:val="auto"/>
          <w:sz w:val="32"/>
          <w:szCs w:val="32"/>
        </w:rPr>
        <w:t>分类推进环境影响评价“打捆”审批，</w:t>
      </w:r>
      <w:r>
        <w:rPr>
          <w:rFonts w:hint="eastAsia" w:ascii="仿宋_GB2312" w:hAnsi="仿宋_GB2312" w:eastAsia="仿宋_GB2312" w:cs="仿宋_GB2312"/>
          <w:color w:val="auto"/>
          <w:sz w:val="32"/>
          <w:szCs w:val="32"/>
          <w:lang w:val="en-US" w:eastAsia="zh-CN"/>
        </w:rPr>
        <w:t>深入</w:t>
      </w:r>
      <w:r>
        <w:rPr>
          <w:rFonts w:hint="eastAsia" w:ascii="仿宋_GB2312" w:hAnsi="仿宋_GB2312" w:eastAsia="仿宋_GB2312" w:cs="仿宋_GB2312"/>
          <w:color w:val="auto"/>
          <w:sz w:val="32"/>
          <w:szCs w:val="32"/>
        </w:rPr>
        <w:t>实施环评与排污许可“两证审批合一”。</w:t>
      </w:r>
    </w:p>
    <w:p w14:paraId="22508D4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仿宋_GB2312" w:hAnsi="仿宋_GB2312" w:eastAsia="仿宋_GB2312" w:cs="仿宋_GB2312"/>
          <w:b/>
          <w:bCs/>
          <w:color w:val="auto"/>
          <w:sz w:val="32"/>
          <w:szCs w:val="32"/>
          <w:lang w:val="en-US" w:eastAsia="zh-CN"/>
        </w:rPr>
        <w:t>19.</w:t>
      </w:r>
      <w:r>
        <w:rPr>
          <w:rFonts w:hint="eastAsia" w:ascii="仿宋_GB2312" w:eastAsia="仿宋_GB2312" w:cs="Times New Roman"/>
          <w:b/>
          <w:bCs/>
          <w:color w:val="auto"/>
          <w:kern w:val="0"/>
          <w:sz w:val="32"/>
          <w:szCs w:val="32"/>
          <w:lang w:val="en-US" w:eastAsia="zh-CN"/>
        </w:rPr>
        <w:t>提升政务服务规范化水平。</w:t>
      </w:r>
      <w:r>
        <w:rPr>
          <w:rFonts w:hint="eastAsia" w:ascii="仿宋_GB2312" w:eastAsia="仿宋_GB2312" w:cs="Times New Roman"/>
          <w:color w:val="auto"/>
          <w:kern w:val="0"/>
          <w:sz w:val="32"/>
          <w:szCs w:val="32"/>
          <w:lang w:val="en-US" w:eastAsia="zh-CN"/>
        </w:rPr>
        <w:t>围绕“高效办成一件事”，研究制定提升政务服务便利度专项工作方案，</w:t>
      </w:r>
      <w:r>
        <w:rPr>
          <w:rFonts w:hint="eastAsia" w:ascii="仿宋_GB2312" w:hAnsi="仿宋_GB2312" w:eastAsia="仿宋_GB2312" w:cs="仿宋_GB2312"/>
          <w:i w:val="0"/>
          <w:caps w:val="0"/>
          <w:color w:val="auto"/>
          <w:spacing w:val="0"/>
          <w:kern w:val="0"/>
          <w:sz w:val="32"/>
          <w:szCs w:val="32"/>
          <w:shd w:val="clear" w:fill="FFFFFF"/>
          <w:lang w:val="en-US" w:eastAsia="zh-CN" w:bidi="ar"/>
        </w:rPr>
        <w:t>推动政务服务事项标准统一、业务协同。建立政</w:t>
      </w:r>
      <w:r>
        <w:rPr>
          <w:rFonts w:hint="eastAsia" w:ascii="仿宋_GB2312" w:eastAsia="仿宋_GB2312" w:cs="Times New Roman"/>
          <w:color w:val="auto"/>
          <w:kern w:val="0"/>
          <w:sz w:val="32"/>
          <w:szCs w:val="32"/>
          <w:lang w:val="en-US" w:eastAsia="zh-CN"/>
        </w:rPr>
        <w:t>务服务“体验官”制度和企业群众需求常态化收集响应机制，推进业务流程再造，提升行政审批效率。依托一体化政务服务平台开设线上企业服务专区，在区政务服务中心设立“企业服务专区”。“陇商通”企业按期办结率达100%。</w:t>
      </w:r>
      <w:r>
        <w:rPr>
          <w:rFonts w:hint="eastAsia" w:ascii="仿宋_GB2312" w:hAnsi="仿宋_GB2312" w:eastAsia="仿宋_GB2312" w:cs="仿宋_GB2312"/>
          <w:color w:val="auto"/>
          <w:sz w:val="32"/>
          <w:szCs w:val="32"/>
        </w:rPr>
        <w:t>落实“营商环境+大数据”互促共融工作机制，借助互联网、云计算、人工智能等技术手段，试行营商环境动态监测，提升监测全面性、精准性、实效性。提升12345政务服务便民热线企业专席服务质效，</w:t>
      </w:r>
      <w:r>
        <w:rPr>
          <w:rFonts w:hint="eastAsia" w:ascii="仿宋_GB2312" w:eastAsia="仿宋_GB2312" w:cs="Times New Roman"/>
          <w:color w:val="auto"/>
          <w:kern w:val="0"/>
          <w:sz w:val="32"/>
          <w:szCs w:val="32"/>
          <w:lang w:val="en-US" w:eastAsia="zh-CN"/>
        </w:rPr>
        <w:t>持续完善12345知识库“高效办成一件事”内容，提升政策解答能力，</w:t>
      </w:r>
      <w:r>
        <w:rPr>
          <w:rFonts w:hint="eastAsia" w:ascii="仿宋_GB2312" w:hAnsi="仿宋_GB2312" w:eastAsia="仿宋_GB2312" w:cs="仿宋_GB2312"/>
          <w:color w:val="auto"/>
          <w:sz w:val="32"/>
          <w:szCs w:val="32"/>
        </w:rPr>
        <w:t>涉企问题按期办结率、满意率均达到 99%以上。</w:t>
      </w:r>
    </w:p>
    <w:p w14:paraId="5829AC61">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20.</w:t>
      </w:r>
      <w:r>
        <w:rPr>
          <w:rFonts w:hint="eastAsia" w:ascii="仿宋_GB2312" w:hAnsi="仿宋_GB2312" w:eastAsia="仿宋_GB2312" w:cs="仿宋_GB2312"/>
          <w:b/>
          <w:bCs/>
          <w:color w:val="auto"/>
          <w:sz w:val="32"/>
          <w:szCs w:val="32"/>
          <w:lang w:eastAsia="zh-CN"/>
        </w:rPr>
        <w:t>提升</w:t>
      </w:r>
      <w:r>
        <w:rPr>
          <w:rFonts w:hint="eastAsia" w:ascii="仿宋_GB2312" w:hAnsi="仿宋_GB2312" w:eastAsia="仿宋_GB2312" w:cs="仿宋_GB2312"/>
          <w:b/>
          <w:bCs/>
          <w:color w:val="auto"/>
          <w:sz w:val="32"/>
          <w:szCs w:val="32"/>
        </w:rPr>
        <w:t>公用事业服务</w:t>
      </w:r>
      <w:r>
        <w:rPr>
          <w:rFonts w:hint="eastAsia" w:ascii="仿宋_GB2312" w:hAnsi="仿宋_GB2312" w:eastAsia="仿宋_GB2312" w:cs="仿宋_GB2312"/>
          <w:b/>
          <w:bCs/>
          <w:color w:val="auto"/>
          <w:sz w:val="32"/>
          <w:szCs w:val="32"/>
          <w:lang w:eastAsia="zh-CN"/>
        </w:rPr>
        <w:t>水平</w:t>
      </w:r>
      <w:r>
        <w:rPr>
          <w:rFonts w:hint="eastAsia" w:ascii="仿宋_GB2312" w:hAnsi="仿宋_GB2312" w:eastAsia="仿宋_GB2312" w:cs="仿宋_GB2312"/>
          <w:color w:val="auto"/>
          <w:sz w:val="32"/>
          <w:szCs w:val="32"/>
        </w:rPr>
        <w:t>。完善水电气热网联合报装机制，优化市政接入工程联合服务和数据共享，试点水电气热网等工程联合勘察、联动施工、协同挖掘。强化公用事业服务监督，深化拓展信用记录运用。降低用电成本，清理非电网直供电环节不合理加价，推进非电网直供电住宅小区“转改直”，严控新增小区转供电，推动正式用电设施与房屋主体工程同步验收、同步交付使用。无电力外线工程的低压用户全过程办电时间不超过5个工作日，涉及电力外线工程的不超过</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个工作日。</w:t>
      </w:r>
    </w:p>
    <w:p w14:paraId="24240E29">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b/>
          <w:bCs/>
          <w:color w:val="auto"/>
          <w:sz w:val="32"/>
          <w:szCs w:val="32"/>
          <w:lang w:val="en-US" w:eastAsia="zh-CN"/>
        </w:rPr>
        <w:t>21.</w:t>
      </w:r>
      <w:r>
        <w:rPr>
          <w:rFonts w:hint="eastAsia" w:ascii="仿宋_GB2312" w:hAnsi="仿宋_GB2312" w:eastAsia="仿宋_GB2312" w:cs="仿宋_GB2312"/>
          <w:b/>
          <w:bCs/>
          <w:color w:val="auto"/>
          <w:sz w:val="32"/>
          <w:szCs w:val="32"/>
        </w:rPr>
        <w:t>提升不动产登记效率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0"/>
          <w:kern w:val="0"/>
          <w:sz w:val="32"/>
          <w:szCs w:val="32"/>
          <w:lang w:val="en-US" w:eastAsia="zh-CN" w:bidi="ar-SA"/>
        </w:rPr>
        <w:t>完善不动产登记、交易和缴税一窗受理、并行办理功能，推动全业务类型不动产登记“一网通办”，</w:t>
      </w:r>
      <w:r>
        <w:rPr>
          <w:rFonts w:hint="default" w:ascii="仿宋_GB2312" w:hAnsi="仿宋_GB2312" w:eastAsia="仿宋_GB2312" w:cs="仿宋_GB2312"/>
          <w:color w:val="auto"/>
          <w:spacing w:val="0"/>
          <w:kern w:val="0"/>
          <w:sz w:val="32"/>
          <w:szCs w:val="32"/>
          <w:lang w:eastAsia="zh-CN" w:bidi="ar-SA"/>
        </w:rPr>
        <w:t>优化</w:t>
      </w:r>
      <w:r>
        <w:rPr>
          <w:rFonts w:hint="eastAsia" w:ascii="仿宋_GB2312" w:hAnsi="仿宋_GB2312" w:eastAsia="仿宋_GB2312" w:cs="仿宋_GB2312"/>
          <w:color w:val="auto"/>
          <w:spacing w:val="0"/>
          <w:kern w:val="0"/>
          <w:sz w:val="32"/>
          <w:szCs w:val="32"/>
          <w:lang w:val="en-US" w:eastAsia="zh-CN" w:bidi="ar-SA"/>
        </w:rPr>
        <w:t>不动产登记与供水、供电、供气、通信一体化过户。 推进二手房带抵押过户，依法为地方金融组织开展不动产抵押、质押融资业务提供便利。</w:t>
      </w:r>
    </w:p>
    <w:p w14:paraId="13BB749A">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22.</w:t>
      </w:r>
      <w:r>
        <w:rPr>
          <w:rFonts w:hint="eastAsia" w:ascii="仿宋_GB2312" w:hAnsi="仿宋_GB2312" w:eastAsia="仿宋_GB2312" w:cs="仿宋_GB2312"/>
          <w:b/>
          <w:bCs/>
          <w:color w:val="auto"/>
          <w:sz w:val="32"/>
          <w:szCs w:val="32"/>
          <w:lang w:eastAsia="zh-CN"/>
        </w:rPr>
        <w:t>提升</w:t>
      </w:r>
      <w:r>
        <w:rPr>
          <w:rFonts w:hint="eastAsia" w:ascii="仿宋_GB2312" w:hAnsi="仿宋_GB2312" w:eastAsia="仿宋_GB2312" w:cs="仿宋_GB2312"/>
          <w:b/>
          <w:bCs/>
          <w:color w:val="auto"/>
          <w:sz w:val="32"/>
          <w:szCs w:val="32"/>
        </w:rPr>
        <w:t>纳税服务</w:t>
      </w:r>
      <w:r>
        <w:rPr>
          <w:rFonts w:hint="eastAsia" w:ascii="仿宋_GB2312" w:hAnsi="仿宋_GB2312" w:eastAsia="仿宋_GB2312" w:cs="仿宋_GB2312"/>
          <w:b/>
          <w:bCs/>
          <w:color w:val="auto"/>
          <w:sz w:val="32"/>
          <w:szCs w:val="32"/>
          <w:lang w:eastAsia="zh-CN"/>
        </w:rPr>
        <w:t>效率</w:t>
      </w:r>
      <w:r>
        <w:rPr>
          <w:rFonts w:hint="eastAsia" w:ascii="仿宋_GB2312" w:hAnsi="仿宋_GB2312" w:eastAsia="仿宋_GB2312" w:cs="仿宋_GB2312"/>
          <w:color w:val="auto"/>
          <w:sz w:val="32"/>
          <w:szCs w:val="32"/>
        </w:rPr>
        <w:t>。高效办成“企业纳税一件事”，推广“信息系统自动提取数据、自动计算税额、自动预填申报、纳税人确认提交”申报模式。</w:t>
      </w:r>
      <w:r>
        <w:rPr>
          <w:rFonts w:hint="eastAsia" w:ascii="仿宋_GB2312" w:eastAsia="仿宋_GB2312" w:cs="仿宋_GB2312" w:hAnsiTheme="minorHAnsi"/>
          <w:color w:val="auto"/>
          <w:kern w:val="2"/>
          <w:sz w:val="31"/>
          <w:szCs w:val="31"/>
          <w:lang w:val="en-US" w:eastAsia="zh-CN" w:bidi="ar-SA"/>
        </w:rPr>
        <w:t>改善办税环境，合理规划办税服务厅布局，设置办税服务区、自助办税区、咨询辅导区、等候休息区等功能区域。启动县级税费服务运营模式，</w:t>
      </w:r>
      <w:r>
        <w:rPr>
          <w:rFonts w:hint="eastAsia" w:ascii="仿宋_GB2312" w:hAnsi="仿宋_GB2312" w:eastAsia="仿宋_GB2312" w:cs="仿宋_GB2312"/>
          <w:color w:val="auto"/>
          <w:sz w:val="32"/>
          <w:szCs w:val="32"/>
        </w:rPr>
        <w:t>推行“精准推送、智能交互、办</w:t>
      </w:r>
      <w:r>
        <w:rPr>
          <w:rFonts w:hint="eastAsia" w:ascii="仿宋_GB2312" w:hAnsi="仿宋_GB2312" w:eastAsia="仿宋_GB2312" w:cs="仿宋_GB2312"/>
          <w:color w:val="auto"/>
          <w:sz w:val="32"/>
          <w:szCs w:val="32"/>
          <w:lang w:eastAsia="zh-CN"/>
        </w:rPr>
        <w:t>件</w:t>
      </w:r>
      <w:r>
        <w:rPr>
          <w:rFonts w:hint="eastAsia" w:ascii="仿宋_GB2312" w:hAnsi="仿宋_GB2312" w:eastAsia="仿宋_GB2312" w:cs="仿宋_GB2312"/>
          <w:color w:val="auto"/>
          <w:sz w:val="32"/>
          <w:szCs w:val="32"/>
        </w:rPr>
        <w:t>协同、全程互动”征纳互动服务，人工互动应答成功率达到90%以上。全面应用数字化电子发票，推广覆盖率达到99%以上，开票率达到90%以上。</w:t>
      </w:r>
    </w:p>
    <w:p w14:paraId="3ADD086F">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三、攻坚重点</w:t>
      </w:r>
    </w:p>
    <w:p w14:paraId="0AB2F8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围绕改革创新驱动力不足、惠企政策落地阻滞等瓶颈难题，全面实施“六大提升行动”，加快破解营商环境堵点、痛点，精准发力，全力推动甘州营商环境迭代升级。</w:t>
      </w:r>
    </w:p>
    <w:p w14:paraId="6162BE0E">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（一）破解政策落地难题，实施精准供给提升行动。</w:t>
      </w:r>
      <w:r>
        <w:rPr>
          <w:rFonts w:hint="eastAsia" w:ascii="仿宋_GB2312" w:hAnsi="仿宋_GB2312" w:eastAsia="仿宋_GB2312" w:cs="仿宋_GB2312"/>
          <w:color w:val="auto"/>
          <w:kern w:val="0"/>
          <w:sz w:val="32"/>
          <w:szCs w:val="32"/>
          <w:lang w:val="en-US" w:eastAsia="zh-CN" w:bidi="ar"/>
        </w:rPr>
        <w:t>围绕“政策优化落实、政务效能提升、把握企业所需所盼”三大核心任务，</w:t>
      </w:r>
      <w:r>
        <w:rPr>
          <w:rFonts w:hint="eastAsia" w:ascii="仿宋_GB2312" w:hAnsi="仿宋_GB2312" w:eastAsia="仿宋_GB2312" w:cs="仿宋_GB2312"/>
          <w:color w:val="auto"/>
          <w:kern w:val="2"/>
          <w:sz w:val="32"/>
          <w:szCs w:val="32"/>
          <w:lang w:val="en-US" w:eastAsia="zh-CN" w:bidi="ar-SA"/>
        </w:rPr>
        <w:t>制作“营商环境政策明白卡”，做优“甘州政策之声”专栏，</w:t>
      </w:r>
      <w:r>
        <w:rPr>
          <w:rFonts w:hint="eastAsia" w:ascii="仿宋_GB2312" w:hAnsi="仿宋_GB2312" w:eastAsia="仿宋_GB2312" w:cs="仿宋_GB2312"/>
          <w:color w:val="auto"/>
          <w:kern w:val="0"/>
          <w:sz w:val="32"/>
          <w:szCs w:val="32"/>
          <w:lang w:val="en-US" w:eastAsia="zh-CN" w:bidi="ar"/>
        </w:rPr>
        <w:t>深</w:t>
      </w:r>
      <w:r>
        <w:rPr>
          <w:rFonts w:hint="eastAsia" w:ascii="仿宋_GB2312" w:hAnsi="仿宋_GB2312" w:eastAsia="仿宋_GB2312" w:cs="仿宋_GB2312"/>
          <w:color w:val="auto"/>
          <w:kern w:val="2"/>
          <w:sz w:val="32"/>
          <w:szCs w:val="32"/>
          <w:lang w:val="en-US" w:eastAsia="zh-CN" w:bidi="ar-SA"/>
        </w:rPr>
        <w:t>入挖掘国家、省市政策中蕴含的技术改造、扩大投资、产业升级等机遇，提炼政策适用对象、申报流程、奖补标准等要素，将政策内容以图文并茂的方式呈现。依托门户网站、微信公众号线上线下等多渠道宣传推广利企便民政策。结合企业走访、专题培训、政策宣讲等活动，进一步扩大政策知晓率和覆盖面，不断提高企业满意度。</w:t>
      </w:r>
    </w:p>
    <w:p w14:paraId="1CFB1052">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（二）破解优势短板难题，实施改革创新提升行动。</w:t>
      </w:r>
      <w:r>
        <w:rPr>
          <w:rFonts w:hint="eastAsia" w:ascii="仿宋_GB2312" w:hAnsi="仿宋_GB2312" w:eastAsia="仿宋_GB2312" w:cs="仿宋_GB2312"/>
          <w:color w:val="auto"/>
          <w:kern w:val="0"/>
          <w:sz w:val="32"/>
          <w:szCs w:val="32"/>
          <w:lang w:val="en-US" w:eastAsia="zh-CN"/>
        </w:rPr>
        <w:t>聚焦竞争优势弱，首创经验少等短板，鼓励各部门单位围绕市场准入、要素配置、数字政府等领域积极探索“一区一品”“一行业一品”特色营商环境，加快形成一批体现地区（行业）特色、可复制可推广的典型案例。依托“丝路营商·甘州领航”专栏，邀请企业代表与政府部门负责人围绕各类营商话题深入对话，从企业发展困境，到惠企政策落地，再到政企协同破局的实践经验分享，</w:t>
      </w:r>
      <w:r>
        <w:rPr>
          <w:rFonts w:hint="eastAsia" w:ascii="仿宋_GB2312" w:hAnsi="仿宋_GB2312" w:eastAsia="仿宋_GB2312" w:cs="仿宋_GB2312"/>
          <w:color w:val="auto"/>
          <w:sz w:val="32"/>
          <w:szCs w:val="32"/>
          <w:lang w:val="en-US" w:eastAsia="zh-CN"/>
        </w:rPr>
        <w:t>以亲身经历与实际工作现身说法，搭建政企沟通桥梁。</w:t>
      </w:r>
    </w:p>
    <w:p w14:paraId="296E5976">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（三）破解信贷融资难题，实施金融服务提升行动</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全</w:t>
      </w:r>
      <w:r>
        <w:rPr>
          <w:rFonts w:hint="eastAsia" w:ascii="仿宋_GB2312" w:hAnsi="仿宋_GB2312" w:eastAsia="仿宋_GB2312" w:cs="仿宋_GB2312"/>
          <w:color w:val="auto"/>
          <w:kern w:val="0"/>
          <w:sz w:val="32"/>
          <w:szCs w:val="32"/>
          <w:lang w:val="en-US" w:eastAsia="zh-CN"/>
        </w:rPr>
        <w:t>面落实“包抓联”“六必访”机制，开展“近悦远来·入企惠企帮企”走访活动，分行业领域建立融资需求走访目标企业清单，助力银行精准筛选目标客户，开展“送贷上门”服务，为企业量身定制“一对一”个性化融资服务方案，提供全过程融资服务。充分发挥甘肃“信易贷”融资平台作用，畅通银企资金供需信息渠道，帮助企业、银行实现精准对接。大力开展“见贷即担”“见担即贷”业务，提高政策性融资担保额度及覆盖面，解决担保不足难题。定期举办政银企对接会、金融知识培训等活动，增强企业对金融政策的理解与应用能力，确保金融服务更加贴近企业实际需求。</w:t>
      </w:r>
    </w:p>
    <w:p w14:paraId="57E7214F">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b/>
          <w:bCs/>
          <w:color w:val="auto"/>
          <w:sz w:val="32"/>
          <w:szCs w:val="32"/>
          <w:lang w:val="en-US" w:eastAsia="zh-CN"/>
        </w:rPr>
        <w:t>（四）破解有诺不践难题，实施纾困解难提升行动。</w:t>
      </w:r>
      <w:r>
        <w:rPr>
          <w:rFonts w:hint="eastAsia" w:ascii="仿宋_GB2312" w:hAnsi="仿宋_GB2312" w:eastAsia="仿宋_GB2312" w:cs="仿宋_GB2312"/>
          <w:color w:val="auto"/>
          <w:kern w:val="0"/>
          <w:sz w:val="32"/>
          <w:szCs w:val="32"/>
          <w:lang w:val="en-US" w:eastAsia="zh-CN"/>
        </w:rPr>
        <w:t>完善“政府承诺+社会监督+失信问责”机制，实现政务信用信息归集、共享覆盖。加强政府机构失信问题治理，集中整治“新官不理旧账”、政策承诺不兑现等问题。建立合同履约信用监管机制，实现单位“全覆盖”、合同“全纳入”、风险“全预警”、违约“全监管”。贯彻落实政商交往负面清单，推动党政干部和企业家双向建立亲清统一的新型政商关系，保持风清气正的营商环境。畅通政企沟通渠道，健全解决拖欠账款问题长效机制，帮助企业解决实际困难问题。</w:t>
      </w:r>
    </w:p>
    <w:p w14:paraId="6E546D2B">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（五）破解感知温差难题，实施企业满意度提升行动。</w:t>
      </w:r>
      <w:r>
        <w:rPr>
          <w:rFonts w:hint="eastAsia" w:ascii="仿宋_GB2312" w:hAnsi="仿宋_GB2312" w:eastAsia="仿宋_GB2312" w:cs="仿宋_GB2312"/>
          <w:color w:val="auto"/>
          <w:sz w:val="32"/>
          <w:szCs w:val="32"/>
          <w:lang w:val="en-US" w:eastAsia="zh-CN"/>
        </w:rPr>
        <w:t>坚持把企业家当成“自家人”，把企业事当“自家事”，持续完善与民营企业沟通联系和解决问题机制。聚焦企业需求，创新工作机制，全面推行“1个区级监测站+10个企业监测点+N个行业联络员”的三级服务网络。深入“营商问题靶向调研”“政务服务沉浸式体验”活动，通过“线上问卷+实地跟办+数据追踪”立体化收集企业诉求，形成一批针对性强、对策精准的建议。</w:t>
      </w:r>
      <w:r>
        <w:rPr>
          <w:rFonts w:hint="eastAsia" w:ascii="仿宋_GB2312" w:hAnsi="仿宋_GB2312" w:eastAsia="仿宋_GB2312" w:cs="仿宋_GB2312"/>
          <w:color w:val="auto"/>
          <w:sz w:val="32"/>
          <w:szCs w:val="32"/>
          <w:lang w:eastAsia="zh-CN"/>
        </w:rPr>
        <w:t>由监测站牵头，会同区“三抓三促”行动专项工作机制办公室，按照问题类型、责任部门、整改时限形成督办台账，采用“专报</w:t>
      </w:r>
      <w:r>
        <w:rPr>
          <w:rFonts w:hint="eastAsia" w:ascii="仿宋_GB2312" w:hAnsi="仿宋_GB2312" w:eastAsia="仿宋_GB2312" w:cs="仿宋_GB2312"/>
          <w:color w:val="auto"/>
          <w:sz w:val="32"/>
          <w:szCs w:val="32"/>
          <w:lang w:val="en-US" w:eastAsia="zh-CN"/>
        </w:rPr>
        <w:t>+监督</w:t>
      </w:r>
      <w:r>
        <w:rPr>
          <w:rFonts w:hint="eastAsia" w:ascii="仿宋_GB2312" w:hAnsi="仿宋_GB2312" w:eastAsia="仿宋_GB2312" w:cs="仿宋_GB2312"/>
          <w:color w:val="auto"/>
          <w:sz w:val="32"/>
          <w:szCs w:val="32"/>
          <w:lang w:eastAsia="zh-CN"/>
        </w:rPr>
        <w:t>”模式压实整改责任。将监测点反馈的高频问题作为改革切入点推动制度创新，</w:t>
      </w:r>
      <w:r>
        <w:rPr>
          <w:rFonts w:hint="eastAsia" w:ascii="仿宋_GB2312" w:hAnsi="仿宋_GB2312" w:eastAsia="仿宋_GB2312" w:cs="仿宋_GB2312"/>
          <w:color w:val="auto"/>
          <w:sz w:val="32"/>
          <w:szCs w:val="32"/>
        </w:rPr>
        <w:t>定期发布企业关注问题“热点榜”和“优秀案例”，</w:t>
      </w:r>
      <w:r>
        <w:rPr>
          <w:rFonts w:hint="eastAsia" w:ascii="仿宋_GB2312" w:hAnsi="仿宋_GB2312" w:eastAsia="仿宋_GB2312" w:cs="仿宋_GB2312"/>
          <w:color w:val="auto"/>
          <w:sz w:val="32"/>
          <w:szCs w:val="32"/>
          <w:lang w:eastAsia="zh-CN"/>
        </w:rPr>
        <w:t>不断提升</w:t>
      </w:r>
      <w:r>
        <w:rPr>
          <w:rFonts w:hint="eastAsia" w:ascii="仿宋_GB2312" w:hAnsi="仿宋_GB2312" w:eastAsia="仿宋_GB2312" w:cs="仿宋_GB2312"/>
          <w:color w:val="auto"/>
          <w:sz w:val="32"/>
          <w:szCs w:val="32"/>
          <w:lang w:val="en-US" w:eastAsia="zh-CN"/>
        </w:rPr>
        <w:t>企业认同感、满意度</w:t>
      </w:r>
      <w:r>
        <w:rPr>
          <w:rFonts w:hint="eastAsia" w:ascii="仿宋_GB2312" w:hAnsi="仿宋_GB2312" w:eastAsia="仿宋_GB2312" w:cs="仿宋_GB2312"/>
          <w:color w:val="auto"/>
          <w:sz w:val="32"/>
          <w:szCs w:val="32"/>
        </w:rPr>
        <w:t>。</w:t>
      </w:r>
    </w:p>
    <w:p w14:paraId="4A46E38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黑体" w:hAnsi="黑体" w:eastAsia="黑体" w:cs="黑体"/>
          <w:b w:val="0"/>
          <w:bCs w:val="0"/>
          <w:color w:val="auto"/>
          <w:sz w:val="32"/>
          <w:szCs w:val="32"/>
        </w:rPr>
      </w:pPr>
      <w:r>
        <w:rPr>
          <w:rFonts w:hint="eastAsia" w:ascii="楷体_GB2312" w:hAnsi="楷体_GB2312" w:eastAsia="楷体_GB2312" w:cs="楷体_GB2312"/>
          <w:b/>
          <w:bCs/>
          <w:color w:val="auto"/>
          <w:sz w:val="32"/>
          <w:szCs w:val="32"/>
          <w:lang w:val="en-US" w:eastAsia="zh-CN"/>
        </w:rPr>
        <w:t>（六）破解效率瓶颈难题，实施政务服务提升行动。</w:t>
      </w:r>
      <w:r>
        <w:rPr>
          <w:rFonts w:hint="eastAsia" w:ascii="仿宋_GB2312" w:hAnsi="仿宋_GB2312" w:eastAsia="仿宋_GB2312" w:cs="仿宋_GB2312"/>
          <w:color w:val="auto"/>
          <w:kern w:val="0"/>
          <w:sz w:val="32"/>
          <w:szCs w:val="32"/>
        </w:rPr>
        <w:t>坚持深化改革，紧扣办事更加便捷，</w:t>
      </w:r>
      <w:r>
        <w:rPr>
          <w:rFonts w:ascii="仿宋_GB2312" w:hAnsi="宋体" w:eastAsia="仿宋_GB2312" w:cs="仿宋_GB2312"/>
          <w:i w:val="0"/>
          <w:iCs w:val="0"/>
          <w:caps w:val="0"/>
          <w:color w:val="auto"/>
          <w:spacing w:val="0"/>
          <w:sz w:val="31"/>
          <w:szCs w:val="31"/>
          <w:shd w:val="clear" w:fill="FFFFFF"/>
        </w:rPr>
        <w:t>依托“</w:t>
      </w:r>
      <w:r>
        <w:rPr>
          <w:rFonts w:hint="eastAsia" w:ascii="仿宋_GB2312" w:hAnsi="宋体" w:eastAsia="仿宋_GB2312" w:cs="仿宋_GB2312"/>
          <w:i w:val="0"/>
          <w:iCs w:val="0"/>
          <w:caps w:val="0"/>
          <w:color w:val="auto"/>
          <w:spacing w:val="0"/>
          <w:sz w:val="31"/>
          <w:szCs w:val="31"/>
          <w:shd w:val="clear" w:fill="FFFFFF"/>
          <w:lang w:eastAsia="zh-CN"/>
        </w:rPr>
        <w:t>甘肃省</w:t>
      </w:r>
      <w:r>
        <w:rPr>
          <w:rFonts w:ascii="仿宋_GB2312" w:hAnsi="宋体" w:eastAsia="仿宋_GB2312" w:cs="仿宋_GB2312"/>
          <w:i w:val="0"/>
          <w:iCs w:val="0"/>
          <w:caps w:val="0"/>
          <w:color w:val="auto"/>
          <w:spacing w:val="0"/>
          <w:sz w:val="31"/>
          <w:szCs w:val="31"/>
          <w:shd w:val="clear" w:fill="FFFFFF"/>
        </w:rPr>
        <w:t>政务服务网”“</w:t>
      </w:r>
      <w:r>
        <w:rPr>
          <w:rFonts w:hint="eastAsia" w:ascii="仿宋_GB2312" w:hAnsi="宋体" w:eastAsia="仿宋_GB2312" w:cs="仿宋_GB2312"/>
          <w:i w:val="0"/>
          <w:iCs w:val="0"/>
          <w:caps w:val="0"/>
          <w:color w:val="auto"/>
          <w:spacing w:val="0"/>
          <w:sz w:val="31"/>
          <w:szCs w:val="31"/>
          <w:shd w:val="clear" w:fill="FFFFFF"/>
          <w:lang w:eastAsia="zh-CN"/>
        </w:rPr>
        <w:t>甘快</w:t>
      </w:r>
      <w:r>
        <w:rPr>
          <w:rFonts w:hint="eastAsia" w:ascii="仿宋_GB2312" w:hAnsi="宋体" w:eastAsia="仿宋_GB2312" w:cs="仿宋_GB2312"/>
          <w:i w:val="0"/>
          <w:iCs w:val="0"/>
          <w:caps w:val="0"/>
          <w:color w:val="auto"/>
          <w:spacing w:val="0"/>
          <w:sz w:val="31"/>
          <w:szCs w:val="31"/>
          <w:shd w:val="clear" w:fill="FFFFFF"/>
        </w:rPr>
        <w:t>办”、自助终端等平台，提供申请受理、</w:t>
      </w:r>
      <w:r>
        <w:rPr>
          <w:rFonts w:hint="eastAsia" w:ascii="仿宋_GB2312" w:hAnsi="宋体" w:eastAsia="仿宋_GB2312" w:cs="仿宋_GB2312"/>
          <w:i w:val="0"/>
          <w:iCs w:val="0"/>
          <w:caps w:val="0"/>
          <w:color w:val="auto"/>
          <w:spacing w:val="0"/>
          <w:sz w:val="31"/>
          <w:szCs w:val="31"/>
          <w:shd w:val="clear" w:fill="FFFFFF"/>
          <w:lang w:eastAsia="zh-CN"/>
        </w:rPr>
        <w:t>审核</w:t>
      </w:r>
      <w:r>
        <w:rPr>
          <w:rFonts w:hint="eastAsia" w:ascii="仿宋_GB2312" w:hAnsi="宋体" w:eastAsia="仿宋_GB2312" w:cs="仿宋_GB2312"/>
          <w:i w:val="0"/>
          <w:iCs w:val="0"/>
          <w:caps w:val="0"/>
          <w:color w:val="auto"/>
          <w:spacing w:val="0"/>
          <w:sz w:val="31"/>
          <w:szCs w:val="31"/>
          <w:shd w:val="clear" w:fill="FFFFFF"/>
        </w:rPr>
        <w:t>、结果送达等全流程、全环节网上服务，推动更多事项由网上可办向全程网办、好办易办转变。</w:t>
      </w:r>
      <w:r>
        <w:rPr>
          <w:rFonts w:ascii="仿宋_GB2312" w:hAnsi="宋体" w:eastAsia="仿宋_GB2312" w:cs="仿宋_GB2312"/>
          <w:i w:val="0"/>
          <w:iCs w:val="0"/>
          <w:caps w:val="0"/>
          <w:color w:val="auto"/>
          <w:spacing w:val="0"/>
          <w:sz w:val="31"/>
          <w:szCs w:val="31"/>
          <w:shd w:val="clear" w:fill="FFFFFF"/>
        </w:rPr>
        <w:t>加强项目全生命周</w:t>
      </w:r>
      <w:r>
        <w:rPr>
          <w:rFonts w:hint="eastAsia" w:ascii="仿宋_GB2312" w:hAnsi="宋体" w:eastAsia="仿宋_GB2312" w:cs="仿宋_GB2312"/>
          <w:i w:val="0"/>
          <w:iCs w:val="0"/>
          <w:caps w:val="0"/>
          <w:color w:val="auto"/>
          <w:spacing w:val="0"/>
          <w:sz w:val="31"/>
          <w:szCs w:val="31"/>
          <w:shd w:val="clear" w:fill="FFFFFF"/>
          <w:lang w:eastAsia="zh-CN"/>
        </w:rPr>
        <w:t>期全</w:t>
      </w:r>
      <w:r>
        <w:rPr>
          <w:rFonts w:ascii="仿宋_GB2312" w:hAnsi="宋体" w:eastAsia="仿宋_GB2312" w:cs="仿宋_GB2312"/>
          <w:i w:val="0"/>
          <w:iCs w:val="0"/>
          <w:caps w:val="0"/>
          <w:color w:val="auto"/>
          <w:spacing w:val="0"/>
          <w:sz w:val="31"/>
          <w:szCs w:val="31"/>
          <w:shd w:val="clear" w:fill="FFFFFF"/>
        </w:rPr>
        <w:t>流程服务，建立分工协作、上下联动、机制健全的服务网络，及时解决项目推进中的难点问题。健全“接诉即办”机制，</w:t>
      </w:r>
      <w:r>
        <w:rPr>
          <w:rFonts w:hint="eastAsia" w:ascii="仿宋_GB2312" w:hAnsi="宋体" w:eastAsia="仿宋_GB2312" w:cs="仿宋_GB2312"/>
          <w:i w:val="0"/>
          <w:iCs w:val="0"/>
          <w:caps w:val="0"/>
          <w:color w:val="auto"/>
          <w:spacing w:val="0"/>
          <w:sz w:val="31"/>
          <w:szCs w:val="31"/>
          <w:shd w:val="clear" w:fill="FFFFFF"/>
          <w:lang w:eastAsia="zh-CN"/>
        </w:rPr>
        <w:t>充分发挥“</w:t>
      </w:r>
      <w:r>
        <w:rPr>
          <w:rFonts w:hint="eastAsia" w:ascii="仿宋_GB2312" w:hAnsi="宋体" w:eastAsia="仿宋_GB2312" w:cs="仿宋_GB2312"/>
          <w:i w:val="0"/>
          <w:iCs w:val="0"/>
          <w:caps w:val="0"/>
          <w:color w:val="auto"/>
          <w:spacing w:val="0"/>
          <w:sz w:val="31"/>
          <w:szCs w:val="31"/>
          <w:shd w:val="clear" w:fill="FFFFFF"/>
          <w:lang w:val="en-US" w:eastAsia="zh-CN"/>
        </w:rPr>
        <w:t>12345</w:t>
      </w:r>
      <w:r>
        <w:rPr>
          <w:rFonts w:hint="eastAsia" w:ascii="仿宋_GB2312" w:hAnsi="宋体" w:eastAsia="仿宋_GB2312" w:cs="仿宋_GB2312"/>
          <w:i w:val="0"/>
          <w:iCs w:val="0"/>
          <w:caps w:val="0"/>
          <w:color w:val="auto"/>
          <w:spacing w:val="0"/>
          <w:sz w:val="31"/>
          <w:szCs w:val="31"/>
          <w:shd w:val="clear" w:fill="FFFFFF"/>
          <w:lang w:eastAsia="zh-CN"/>
        </w:rPr>
        <w:t>”总客服作用，</w:t>
      </w:r>
      <w:r>
        <w:rPr>
          <w:rFonts w:ascii="仿宋_GB2312" w:hAnsi="宋体" w:eastAsia="仿宋_GB2312" w:cs="仿宋_GB2312"/>
          <w:i w:val="0"/>
          <w:iCs w:val="0"/>
          <w:caps w:val="0"/>
          <w:color w:val="auto"/>
          <w:spacing w:val="0"/>
          <w:sz w:val="31"/>
          <w:szCs w:val="31"/>
          <w:shd w:val="clear" w:fill="FFFFFF"/>
        </w:rPr>
        <w:t>及时了解群众和企业反馈的问题建议，高效解决问题，提供更优服务。</w:t>
      </w:r>
    </w:p>
    <w:p w14:paraId="10AD6036">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四、保障措施</w:t>
      </w:r>
    </w:p>
    <w:p w14:paraId="262393D9">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（一）强化</w:t>
      </w:r>
      <w:r>
        <w:rPr>
          <w:rFonts w:hint="eastAsia" w:ascii="楷体_GB2312" w:hAnsi="楷体_GB2312" w:eastAsia="楷体_GB2312" w:cs="楷体_GB2312"/>
          <w:b/>
          <w:bCs/>
          <w:color w:val="auto"/>
          <w:sz w:val="32"/>
          <w:szCs w:val="32"/>
          <w:lang w:eastAsia="zh-CN"/>
        </w:rPr>
        <w:t>组织实施</w:t>
      </w:r>
      <w:r>
        <w:rPr>
          <w:rFonts w:hint="eastAsia" w:ascii="楷体_GB2312" w:hAnsi="楷体_GB2312" w:eastAsia="楷体_GB2312" w:cs="楷体_GB2312"/>
          <w:b/>
          <w:bCs/>
          <w:color w:val="auto"/>
          <w:sz w:val="32"/>
          <w:szCs w:val="32"/>
        </w:rPr>
        <w:t>。</w:t>
      </w:r>
      <w:r>
        <w:rPr>
          <w:rFonts w:hint="eastAsia" w:ascii="仿宋_GB2312" w:hAnsi="宋体" w:eastAsia="仿宋_GB2312" w:cs="仿宋_GB2312"/>
          <w:i w:val="0"/>
          <w:iCs w:val="0"/>
          <w:caps w:val="0"/>
          <w:color w:val="auto"/>
          <w:spacing w:val="0"/>
          <w:kern w:val="0"/>
          <w:sz w:val="31"/>
          <w:szCs w:val="31"/>
          <w:shd w:val="clear" w:fill="FFFFFF"/>
          <w:lang w:val="en-US" w:eastAsia="zh-CN" w:bidi="ar"/>
        </w:rPr>
        <w:t>优化营商环境指标牵头单位、责任单位要</w:t>
      </w:r>
      <w:r>
        <w:rPr>
          <w:rFonts w:ascii="仿宋_GB2312" w:hAnsi="宋体" w:eastAsia="仿宋_GB2312" w:cs="仿宋_GB2312"/>
          <w:i w:val="0"/>
          <w:iCs w:val="0"/>
          <w:caps w:val="0"/>
          <w:color w:val="auto"/>
          <w:spacing w:val="0"/>
          <w:kern w:val="0"/>
          <w:sz w:val="31"/>
          <w:szCs w:val="31"/>
          <w:shd w:val="clear" w:fill="FFFFFF"/>
          <w:lang w:val="en-US" w:eastAsia="zh-CN" w:bidi="ar"/>
        </w:rPr>
        <w:t>把</w:t>
      </w:r>
      <w:r>
        <w:rPr>
          <w:rFonts w:hint="eastAsia" w:ascii="仿宋_GB2312" w:hAnsi="宋体" w:eastAsia="仿宋_GB2312" w:cs="仿宋_GB2312"/>
          <w:i w:val="0"/>
          <w:iCs w:val="0"/>
          <w:caps w:val="0"/>
          <w:color w:val="auto"/>
          <w:spacing w:val="0"/>
          <w:kern w:val="0"/>
          <w:sz w:val="31"/>
          <w:szCs w:val="31"/>
          <w:shd w:val="clear" w:fill="FFFFFF"/>
          <w:lang w:val="en-US" w:eastAsia="zh-CN" w:bidi="ar"/>
        </w:rPr>
        <w:t>全面</w:t>
      </w:r>
      <w:r>
        <w:rPr>
          <w:rFonts w:ascii="仿宋_GB2312" w:hAnsi="宋体" w:eastAsia="仿宋_GB2312" w:cs="仿宋_GB2312"/>
          <w:i w:val="0"/>
          <w:iCs w:val="0"/>
          <w:caps w:val="0"/>
          <w:color w:val="auto"/>
          <w:spacing w:val="0"/>
          <w:kern w:val="0"/>
          <w:sz w:val="31"/>
          <w:szCs w:val="31"/>
          <w:shd w:val="clear" w:fill="FFFFFF"/>
          <w:lang w:val="en-US" w:eastAsia="zh-CN" w:bidi="ar"/>
        </w:rPr>
        <w:t>提升营商环境作为重点工作来推进，主要负责同志作为第一责任人，亲自抓部署、抓方案、抓协调、抓进度、抓落实。做到专人负责</w:t>
      </w:r>
      <w:r>
        <w:rPr>
          <w:rFonts w:hint="eastAsia" w:ascii="仿宋_GB2312" w:hAnsi="宋体" w:eastAsia="仿宋_GB2312" w:cs="仿宋_GB2312"/>
          <w:i w:val="0"/>
          <w:iCs w:val="0"/>
          <w:caps w:val="0"/>
          <w:color w:val="auto"/>
          <w:spacing w:val="0"/>
          <w:kern w:val="0"/>
          <w:sz w:val="31"/>
          <w:szCs w:val="31"/>
          <w:shd w:val="clear" w:fill="FFFFFF"/>
          <w:lang w:val="en-US" w:eastAsia="zh-CN" w:bidi="ar"/>
        </w:rPr>
        <w:t>，</w:t>
      </w:r>
      <w:r>
        <w:rPr>
          <w:rFonts w:ascii="仿宋_GB2312" w:hAnsi="宋体" w:eastAsia="仿宋_GB2312" w:cs="仿宋_GB2312"/>
          <w:i w:val="0"/>
          <w:iCs w:val="0"/>
          <w:caps w:val="0"/>
          <w:color w:val="auto"/>
          <w:spacing w:val="0"/>
          <w:kern w:val="0"/>
          <w:sz w:val="31"/>
          <w:szCs w:val="31"/>
          <w:shd w:val="clear" w:fill="FFFFFF"/>
          <w:lang w:val="en-US" w:eastAsia="zh-CN" w:bidi="ar"/>
        </w:rPr>
        <w:t>要对各自负责的指标研究制定推进落实具体工作方案，提出可量化、可考核、可跟踪的工作目标及措施，明确完成时限，</w:t>
      </w:r>
      <w:r>
        <w:rPr>
          <w:rFonts w:hint="eastAsia" w:ascii="仿宋_GB2312" w:hAnsi="宋体" w:eastAsia="仿宋_GB2312" w:cs="仿宋_GB2312"/>
          <w:i w:val="0"/>
          <w:iCs w:val="0"/>
          <w:caps w:val="0"/>
          <w:color w:val="auto"/>
          <w:spacing w:val="0"/>
          <w:kern w:val="0"/>
          <w:sz w:val="31"/>
          <w:szCs w:val="31"/>
          <w:shd w:val="clear" w:fill="FFFFFF"/>
          <w:lang w:val="en-US" w:eastAsia="zh-CN" w:bidi="ar"/>
        </w:rPr>
        <w:t>推动各项任务落地落实。</w:t>
      </w:r>
    </w:p>
    <w:p w14:paraId="2E27D951">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二</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突出典型引领。</w:t>
      </w:r>
      <w:r>
        <w:rPr>
          <w:rFonts w:hint="eastAsia" w:ascii="仿宋_GB2312" w:hAnsi="仿宋_GB2312" w:eastAsia="仿宋_GB2312" w:cs="仿宋_GB2312"/>
          <w:color w:val="auto"/>
          <w:sz w:val="32"/>
          <w:szCs w:val="32"/>
          <w:lang w:val="en-US" w:eastAsia="zh-CN"/>
        </w:rPr>
        <w:t>各部门单位要发挥各自职能优势，持续深入开展“一把手走流程”“一把手抓营商”等活动，积极探索小切口、易推广的营商环境“微改革”，总结提炼形成一批具有甘州特色的示范案例，力争建设“全省优化营商环境示范县（区）”。</w:t>
      </w:r>
    </w:p>
    <w:p w14:paraId="3BA3E568">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val="en-US" w:eastAsia="zh-CN"/>
        </w:rPr>
        <w:t>强化纪律作风。</w:t>
      </w:r>
      <w:r>
        <w:rPr>
          <w:rFonts w:hint="eastAsia" w:ascii="仿宋_GB2312" w:hAnsi="仿宋_GB2312" w:eastAsia="仿宋_GB2312" w:cs="仿宋_GB2312"/>
          <w:color w:val="auto"/>
          <w:sz w:val="32"/>
          <w:szCs w:val="32"/>
          <w:lang w:val="en-US" w:eastAsia="zh-CN"/>
        </w:rPr>
        <w:t>深入开展营商环境专项治理，健全营商环境投诉处理机制，依托“12345”政务服务便民热线等平台，接受社会各界对损害营商环境违法行为的投诉举报并依法查处，坚决整治影响惠企纾困政策落实、制约企业健康发展、侵害市场主体和群众合法权益等腐败和不正之风，推动构建亲清政商关系。</w:t>
      </w:r>
    </w:p>
    <w:p w14:paraId="3354FDF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44"/>
          <w:szCs w:val="44"/>
          <w:lang w:val="en-US" w:eastAsia="zh-CN"/>
        </w:rPr>
        <w:sectPr>
          <w:footerReference r:id="rId3" w:type="default"/>
          <w:footerReference r:id="rId4" w:type="even"/>
          <w:pgSz w:w="11906" w:h="16838"/>
          <w:pgMar w:top="2098" w:right="1474" w:bottom="1984" w:left="1587" w:header="851" w:footer="992" w:gutter="0"/>
          <w:pgNumType w:fmt="decimal"/>
          <w:cols w:space="0" w:num="1"/>
          <w:rtlGutter w:val="0"/>
          <w:docGrid w:type="lines" w:linePitch="312" w:charSpace="0"/>
        </w:sectPr>
      </w:pPr>
    </w:p>
    <w:p w14:paraId="4FFEDA53">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甘州区</w:t>
      </w:r>
      <w:r>
        <w:rPr>
          <w:rFonts w:hint="eastAsia" w:ascii="方正小标宋简体" w:hAnsi="方正小标宋简体" w:eastAsia="方正小标宋简体" w:cs="方正小标宋简体"/>
          <w:b w:val="0"/>
          <w:bCs w:val="0"/>
          <w:sz w:val="44"/>
          <w:szCs w:val="44"/>
        </w:rPr>
        <w:t>优化营商环境全面提升年行动方案</w:t>
      </w:r>
      <w:r>
        <w:rPr>
          <w:rFonts w:hint="eastAsia" w:ascii="方正小标宋简体" w:hAnsi="方正小标宋简体" w:eastAsia="方正小标宋简体" w:cs="方正小标宋简体"/>
          <w:b w:val="0"/>
          <w:bCs w:val="0"/>
          <w:sz w:val="44"/>
          <w:szCs w:val="44"/>
          <w:lang w:val="en-US" w:eastAsia="zh-CN"/>
        </w:rPr>
        <w:t>责任分工表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9102"/>
        <w:gridCol w:w="2355"/>
        <w:gridCol w:w="1410"/>
      </w:tblGrid>
      <w:tr w14:paraId="5F58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trPr>
        <w:tc>
          <w:tcPr>
            <w:tcW w:w="1864" w:type="dxa"/>
            <w:noWrap w:val="0"/>
            <w:vAlign w:val="center"/>
          </w:tcPr>
          <w:p w14:paraId="2A7E2CC8">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sz w:val="28"/>
                <w:szCs w:val="28"/>
                <w:vertAlign w:val="baseline"/>
                <w14:textFill>
                  <w14:solidFill>
                    <w14:schemeClr w14:val="tx1"/>
                  </w14:solidFill>
                </w14:textFill>
              </w:rPr>
            </w:pPr>
            <w:r>
              <w:rPr>
                <w:rFonts w:hint="eastAsia" w:ascii="黑体" w:hAnsi="黑体" w:eastAsia="黑体" w:cs="黑体"/>
                <w:b w:val="0"/>
                <w:bCs w:val="0"/>
                <w:color w:val="000000" w:themeColor="text1"/>
                <w:sz w:val="28"/>
                <w:szCs w:val="28"/>
                <w:lang w:eastAsia="zh-CN"/>
                <w14:textFill>
                  <w14:solidFill>
                    <w14:schemeClr w14:val="tx1"/>
                  </w14:solidFill>
                </w14:textFill>
              </w:rPr>
              <w:t>主要内容</w:t>
            </w:r>
          </w:p>
        </w:tc>
        <w:tc>
          <w:tcPr>
            <w:tcW w:w="9102" w:type="dxa"/>
            <w:noWrap w:val="0"/>
            <w:vAlign w:val="center"/>
          </w:tcPr>
          <w:p w14:paraId="30531633">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sz w:val="28"/>
                <w:szCs w:val="28"/>
                <w:vertAlign w:val="baseline"/>
                <w14:textFill>
                  <w14:solidFill>
                    <w14:schemeClr w14:val="tx1"/>
                  </w14:solidFill>
                </w14:textFill>
              </w:rPr>
            </w:pPr>
            <w:r>
              <w:rPr>
                <w:rFonts w:hint="eastAsia" w:ascii="黑体" w:hAnsi="黑体" w:eastAsia="黑体" w:cs="黑体"/>
                <w:b w:val="0"/>
                <w:bCs w:val="0"/>
                <w:color w:val="000000" w:themeColor="text1"/>
                <w:sz w:val="28"/>
                <w:szCs w:val="28"/>
                <w:lang w:eastAsia="zh-CN"/>
                <w14:textFill>
                  <w14:solidFill>
                    <w14:schemeClr w14:val="tx1"/>
                  </w14:solidFill>
                </w14:textFill>
              </w:rPr>
              <w:t>重点任务</w:t>
            </w:r>
          </w:p>
        </w:tc>
        <w:tc>
          <w:tcPr>
            <w:tcW w:w="2355" w:type="dxa"/>
            <w:noWrap w:val="0"/>
            <w:vAlign w:val="center"/>
          </w:tcPr>
          <w:p w14:paraId="60206601">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sz w:val="28"/>
                <w:szCs w:val="28"/>
                <w:vertAlign w:val="baseline"/>
                <w14:textFill>
                  <w14:solidFill>
                    <w14:schemeClr w14:val="tx1"/>
                  </w14:solidFill>
                </w14:textFill>
              </w:rPr>
            </w:pPr>
            <w:r>
              <w:rPr>
                <w:rFonts w:hint="eastAsia" w:ascii="黑体" w:hAnsi="黑体" w:eastAsia="黑体" w:cs="黑体"/>
                <w:b w:val="0"/>
                <w:bCs w:val="0"/>
                <w:color w:val="000000" w:themeColor="text1"/>
                <w:sz w:val="28"/>
                <w:szCs w:val="28"/>
                <w:lang w:eastAsia="zh-CN"/>
                <w14:textFill>
                  <w14:solidFill>
                    <w14:schemeClr w14:val="tx1"/>
                  </w14:solidFill>
                </w14:textFill>
              </w:rPr>
              <w:t>责任部门</w:t>
            </w:r>
          </w:p>
        </w:tc>
        <w:tc>
          <w:tcPr>
            <w:tcW w:w="1410" w:type="dxa"/>
            <w:noWrap w:val="0"/>
            <w:vAlign w:val="center"/>
          </w:tcPr>
          <w:p w14:paraId="5DACD72B">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color w:val="000000" w:themeColor="text1"/>
                <w:sz w:val="28"/>
                <w:szCs w:val="28"/>
                <w:vertAlign w:val="baseline"/>
                <w14:textFill>
                  <w14:solidFill>
                    <w14:schemeClr w14:val="tx1"/>
                  </w14:solidFill>
                </w14:textFill>
              </w:rPr>
            </w:pPr>
            <w:r>
              <w:rPr>
                <w:rFonts w:hint="eastAsia" w:ascii="黑体" w:hAnsi="黑体" w:eastAsia="黑体" w:cs="黑体"/>
                <w:b w:val="0"/>
                <w:bCs w:val="0"/>
                <w:color w:val="000000" w:themeColor="text1"/>
                <w:sz w:val="28"/>
                <w:szCs w:val="28"/>
                <w:lang w:eastAsia="zh-CN"/>
                <w14:textFill>
                  <w14:solidFill>
                    <w14:schemeClr w14:val="tx1"/>
                  </w14:solidFill>
                </w14:textFill>
              </w:rPr>
              <w:t>完成时限</w:t>
            </w:r>
          </w:p>
        </w:tc>
      </w:tr>
      <w:tr w14:paraId="5055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31" w:type="dxa"/>
            <w:gridSpan w:val="4"/>
            <w:noWrap w:val="0"/>
            <w:vAlign w:val="center"/>
          </w:tcPr>
          <w:p w14:paraId="1656E321">
            <w:pPr>
              <w:keepNext w:val="0"/>
              <w:keepLines w:val="0"/>
              <w:pageBreakBefore w:val="0"/>
              <w:kinsoku/>
              <w:wordWrap/>
              <w:overflowPunct/>
              <w:topLinePunct w:val="0"/>
              <w:autoSpaceDE/>
              <w:autoSpaceDN/>
              <w:bidi w:val="0"/>
              <w:adjustRightInd/>
              <w:snapToGrid/>
              <w:spacing w:beforeAutospacing="0" w:afterAutospacing="0" w:line="300" w:lineRule="exact"/>
              <w:jc w:val="left"/>
              <w:textAlignment w:val="auto"/>
              <w:rPr>
                <w:rFonts w:hint="eastAsia" w:ascii="仿宋_GB2312" w:hAnsi="仿宋_GB2312" w:eastAsia="仿宋_GB2312" w:cs="仿宋_GB2312"/>
                <w:b w:val="0"/>
                <w:bCs w:val="0"/>
                <w:color w:val="000000" w:themeColor="text1"/>
                <w:sz w:val="21"/>
                <w:szCs w:val="21"/>
                <w:highlight w:val="none"/>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vertAlign w:val="baseline"/>
                <w:lang w:val="en-US" w:eastAsia="zh-CN"/>
                <w14:textFill>
                  <w14:solidFill>
                    <w14:schemeClr w14:val="tx1"/>
                  </w14:solidFill>
                </w14:textFill>
              </w:rPr>
              <w:t>一、总体目标</w:t>
            </w:r>
          </w:p>
        </w:tc>
      </w:tr>
      <w:tr w14:paraId="53DF4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64" w:type="dxa"/>
            <w:noWrap w:val="0"/>
            <w:vAlign w:val="center"/>
          </w:tcPr>
          <w:p w14:paraId="43B5E39E">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highlight w:val="none"/>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重点指标全面提升</w:t>
            </w:r>
          </w:p>
        </w:tc>
        <w:tc>
          <w:tcPr>
            <w:tcW w:w="9102" w:type="dxa"/>
            <w:noWrap w:val="0"/>
            <w:vAlign w:val="center"/>
          </w:tcPr>
          <w:p w14:paraId="7CA9CB19">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sz w:val="21"/>
                <w:szCs w:val="21"/>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以习近平新时代中国特色社会主义思想为指导，全面贯彻党的二十大和二十届二中、三中全会精神，深入落实习近平总书记关于优化营商环境重要论述和视察甘肃重要讲话重要指示精神，对标国内一流标准，坚持系统集成、持续迭代升级，以市场化为鲜明主线、以法治化为基础保障、以国际化为重要标准、以便利化为关键支撑，加力打造规范有序、公正透明、开放包容、利企便民的一流营商环境。</w:t>
            </w:r>
          </w:p>
        </w:tc>
        <w:tc>
          <w:tcPr>
            <w:tcW w:w="2355" w:type="dxa"/>
            <w:noWrap w:val="0"/>
            <w:vAlign w:val="center"/>
          </w:tcPr>
          <w:p w14:paraId="07C79883">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color w:val="000000" w:themeColor="text1"/>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区属各相关部门</w:t>
            </w:r>
          </w:p>
        </w:tc>
        <w:tc>
          <w:tcPr>
            <w:tcW w:w="1410" w:type="dxa"/>
            <w:noWrap w:val="0"/>
            <w:vAlign w:val="center"/>
          </w:tcPr>
          <w:p w14:paraId="5A3E73C3">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highlight w:val="none"/>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vertAlign w:val="baseline"/>
                <w:lang w:val="en-US" w:eastAsia="zh-CN"/>
                <w14:textFill>
                  <w14:solidFill>
                    <w14:schemeClr w14:val="tx1"/>
                  </w14:solidFill>
                </w14:textFill>
              </w:rPr>
              <w:t>12月</w:t>
            </w:r>
          </w:p>
        </w:tc>
      </w:tr>
      <w:tr w14:paraId="3A86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731" w:type="dxa"/>
            <w:gridSpan w:val="4"/>
            <w:noWrap w:val="0"/>
            <w:vAlign w:val="center"/>
          </w:tcPr>
          <w:p w14:paraId="63C325F2">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eastAsia="黑体"/>
                <w:color w:val="000000" w:themeColor="text1"/>
                <w:vertAlign w:val="baseline"/>
                <w:lang w:eastAsia="zh-CN"/>
                <w14:textFill>
                  <w14:solidFill>
                    <w14:schemeClr w14:val="tx1"/>
                  </w14:solidFill>
                </w14:textFill>
              </w:rPr>
            </w:pPr>
            <w:r>
              <w:rPr>
                <w:rFonts w:hint="eastAsia" w:ascii="黑体" w:hAnsi="黑体" w:eastAsia="黑体" w:cs="黑体"/>
                <w:b w:val="0"/>
                <w:bCs w:val="0"/>
                <w:color w:val="000000" w:themeColor="text1"/>
                <w:sz w:val="24"/>
                <w:szCs w:val="24"/>
                <w:lang w:val="en-US" w:eastAsia="zh-CN"/>
                <w14:textFill>
                  <w14:solidFill>
                    <w14:schemeClr w14:val="tx1"/>
                  </w14:solidFill>
                </w14:textFill>
              </w:rPr>
              <w:t>二、</w:t>
            </w:r>
            <w:r>
              <w:rPr>
                <w:rFonts w:hint="eastAsia" w:ascii="黑体" w:hAnsi="黑体" w:eastAsia="黑体" w:cs="黑体"/>
                <w:b w:val="0"/>
                <w:bCs w:val="0"/>
                <w:color w:val="000000" w:themeColor="text1"/>
                <w:sz w:val="24"/>
                <w:szCs w:val="24"/>
                <w:lang w:eastAsia="zh-CN"/>
                <w14:textFill>
                  <w14:solidFill>
                    <w14:schemeClr w14:val="tx1"/>
                  </w14:solidFill>
                </w14:textFill>
              </w:rPr>
              <w:t>主要任务</w:t>
            </w:r>
          </w:p>
        </w:tc>
      </w:tr>
      <w:tr w14:paraId="0FBF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731" w:type="dxa"/>
            <w:gridSpan w:val="4"/>
            <w:noWrap w:val="0"/>
            <w:vAlign w:val="center"/>
          </w:tcPr>
          <w:p w14:paraId="7D6DA124">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黑体" w:hAnsi="黑体" w:eastAsia="黑体" w:cs="黑体"/>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（一）</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着力提升市场化水平，激发经营主体活力</w:t>
            </w:r>
          </w:p>
        </w:tc>
      </w:tr>
      <w:tr w14:paraId="40E9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64" w:type="dxa"/>
            <w:vMerge w:val="restart"/>
            <w:noWrap w:val="0"/>
            <w:vAlign w:val="center"/>
          </w:tcPr>
          <w:p w14:paraId="33B09D95">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1.优化市场准入准营环境</w:t>
            </w:r>
          </w:p>
        </w:tc>
        <w:tc>
          <w:tcPr>
            <w:tcW w:w="9102" w:type="dxa"/>
            <w:noWrap w:val="0"/>
            <w:vAlign w:val="center"/>
          </w:tcPr>
          <w:p w14:paraId="7DE51767">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（1）严格落实市场准入负面清单制度，探索开展市场准入效能评估。</w:t>
            </w:r>
          </w:p>
        </w:tc>
        <w:tc>
          <w:tcPr>
            <w:tcW w:w="2355" w:type="dxa"/>
            <w:noWrap w:val="0"/>
            <w:vAlign w:val="center"/>
          </w:tcPr>
          <w:p w14:paraId="096AB5A5">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strike w:val="0"/>
                <w:dstrike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strike w:val="0"/>
                <w:dstrike w:val="0"/>
                <w:color w:val="000000" w:themeColor="text1"/>
                <w:sz w:val="21"/>
                <w:szCs w:val="21"/>
                <w:vertAlign w:val="baseline"/>
                <w:lang w:val="en-US" w:eastAsia="zh-CN"/>
                <w14:textFill>
                  <w14:solidFill>
                    <w14:schemeClr w14:val="tx1"/>
                  </w14:solidFill>
                </w14:textFill>
              </w:rPr>
              <w:t>区发改局</w:t>
            </w:r>
          </w:p>
          <w:p w14:paraId="73831461">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color w:val="000000" w:themeColor="text1"/>
                <w:vertAlign w:val="baseline"/>
                <w:lang w:val="en-US"/>
                <w14:textFill>
                  <w14:solidFill>
                    <w14:schemeClr w14:val="tx1"/>
                  </w14:solidFill>
                </w14:textFill>
              </w:rPr>
            </w:pPr>
            <w:r>
              <w:rPr>
                <w:rFonts w:hint="eastAsia" w:ascii="仿宋_GB2312" w:hAnsi="仿宋_GB2312" w:eastAsia="仿宋_GB2312" w:cs="仿宋_GB2312"/>
                <w:b w:val="0"/>
                <w:bCs w:val="0"/>
                <w:strike w:val="0"/>
                <w:dstrike w:val="0"/>
                <w:color w:val="000000" w:themeColor="text1"/>
                <w:sz w:val="21"/>
                <w:szCs w:val="21"/>
                <w:vertAlign w:val="baseline"/>
                <w:lang w:val="en-US" w:eastAsia="zh-CN"/>
                <w14:textFill>
                  <w14:solidFill>
                    <w14:schemeClr w14:val="tx1"/>
                  </w14:solidFill>
                </w14:textFill>
              </w:rPr>
              <w:t>区商务局</w:t>
            </w:r>
          </w:p>
        </w:tc>
        <w:tc>
          <w:tcPr>
            <w:tcW w:w="1410" w:type="dxa"/>
            <w:noWrap w:val="0"/>
            <w:vAlign w:val="center"/>
          </w:tcPr>
          <w:p w14:paraId="4DAD9D61">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6078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864" w:type="dxa"/>
            <w:vMerge w:val="continue"/>
            <w:noWrap w:val="0"/>
            <w:vAlign w:val="center"/>
          </w:tcPr>
          <w:p w14:paraId="3B0D7D16">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000000" w:themeColor="text1"/>
                <w:vertAlign w:val="baseline"/>
                <w14:textFill>
                  <w14:solidFill>
                    <w14:schemeClr w14:val="tx1"/>
                  </w14:solidFill>
                </w14:textFill>
              </w:rPr>
            </w:pPr>
          </w:p>
        </w:tc>
        <w:tc>
          <w:tcPr>
            <w:tcW w:w="9102" w:type="dxa"/>
            <w:noWrap w:val="0"/>
            <w:vAlign w:val="center"/>
          </w:tcPr>
          <w:p w14:paraId="0A73520C">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（2）深入推进“一业一证”改革，建立行业综合许可制度，实现“一单告知、一表申请、一标核准、一证准营”。</w:t>
            </w:r>
          </w:p>
        </w:tc>
        <w:tc>
          <w:tcPr>
            <w:tcW w:w="2355" w:type="dxa"/>
            <w:noWrap w:val="0"/>
            <w:vAlign w:val="center"/>
          </w:tcPr>
          <w:p w14:paraId="0F534E5B">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区市场监管局</w:t>
            </w:r>
          </w:p>
          <w:p w14:paraId="52CFB512">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区营商环境建设局</w:t>
            </w:r>
          </w:p>
        </w:tc>
        <w:tc>
          <w:tcPr>
            <w:tcW w:w="1410" w:type="dxa"/>
            <w:noWrap w:val="0"/>
            <w:vAlign w:val="center"/>
          </w:tcPr>
          <w:p w14:paraId="546B74AF">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9月</w:t>
            </w:r>
          </w:p>
        </w:tc>
      </w:tr>
      <w:tr w14:paraId="759A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64" w:type="dxa"/>
            <w:vMerge w:val="continue"/>
            <w:noWrap w:val="0"/>
            <w:vAlign w:val="center"/>
          </w:tcPr>
          <w:p w14:paraId="02469DA6">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000000" w:themeColor="text1"/>
                <w:vertAlign w:val="baseline"/>
                <w14:textFill>
                  <w14:solidFill>
                    <w14:schemeClr w14:val="tx1"/>
                  </w14:solidFill>
                </w14:textFill>
              </w:rPr>
            </w:pPr>
          </w:p>
        </w:tc>
        <w:tc>
          <w:tcPr>
            <w:tcW w:w="9102" w:type="dxa"/>
            <w:noWrap w:val="0"/>
            <w:vAlign w:val="center"/>
          </w:tcPr>
          <w:p w14:paraId="7DB276B8">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（3）健全完善公平竞争第三方审查模式，及时清理废除妨碍统一市场和公平竞争的制度规定。</w:t>
            </w:r>
          </w:p>
        </w:tc>
        <w:tc>
          <w:tcPr>
            <w:tcW w:w="2355" w:type="dxa"/>
            <w:noWrap w:val="0"/>
            <w:vAlign w:val="center"/>
          </w:tcPr>
          <w:p w14:paraId="15B6B57A">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区市场监管局</w:t>
            </w:r>
          </w:p>
        </w:tc>
        <w:tc>
          <w:tcPr>
            <w:tcW w:w="1410" w:type="dxa"/>
            <w:noWrap w:val="0"/>
            <w:vAlign w:val="center"/>
          </w:tcPr>
          <w:p w14:paraId="2C8C3DD9">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9月</w:t>
            </w:r>
          </w:p>
        </w:tc>
      </w:tr>
      <w:tr w14:paraId="60A4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864" w:type="dxa"/>
            <w:vMerge w:val="restart"/>
            <w:noWrap w:val="0"/>
            <w:vAlign w:val="center"/>
          </w:tcPr>
          <w:p w14:paraId="0EA1B1B9">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2.促进公共资源交易公平竞争</w:t>
            </w:r>
          </w:p>
        </w:tc>
        <w:tc>
          <w:tcPr>
            <w:tcW w:w="9102" w:type="dxa"/>
            <w:noWrap w:val="0"/>
            <w:vAlign w:val="center"/>
          </w:tcPr>
          <w:p w14:paraId="34E0288F">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t>深化拓展公共资源交易“全省一张网”成果应用，完善计算机辅助评标评审系统功能和</w:t>
            </w:r>
            <w:r>
              <w:rPr>
                <w:rFonts w:hint="eastAsia" w:ascii="仿宋_GB2312" w:hAnsi="仿宋_GB2312" w:eastAsia="仿宋_GB2312" w:cs="仿宋_GB2312"/>
                <w:color w:val="000000" w:themeColor="text1"/>
                <w:sz w:val="21"/>
                <w:szCs w:val="21"/>
                <w14:textFill>
                  <w14:solidFill>
                    <w14:schemeClr w14:val="tx1"/>
                  </w14:solidFill>
                </w14:textFill>
              </w:rPr>
              <w:t>评标委员会对异常低价的甄别处理程序。</w:t>
            </w:r>
          </w:p>
        </w:tc>
        <w:tc>
          <w:tcPr>
            <w:tcW w:w="2355" w:type="dxa"/>
            <w:noWrap w:val="0"/>
            <w:vAlign w:val="center"/>
          </w:tcPr>
          <w:p w14:paraId="62842486">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color w:val="000000" w:themeColor="text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vertAlign w:val="baseline"/>
                <w:lang w:val="en-US" w:eastAsia="zh-CN"/>
                <w14:textFill>
                  <w14:solidFill>
                    <w14:schemeClr w14:val="tx1"/>
                  </w14:solidFill>
                </w14:textFill>
              </w:rPr>
              <w:t>区发改局</w:t>
            </w:r>
          </w:p>
        </w:tc>
        <w:tc>
          <w:tcPr>
            <w:tcW w:w="1410" w:type="dxa"/>
            <w:noWrap w:val="0"/>
            <w:vAlign w:val="center"/>
          </w:tcPr>
          <w:p w14:paraId="26B09672">
            <w:pPr>
              <w:pStyle w:val="6"/>
              <w:keepNext w:val="0"/>
              <w:keepLines w:val="0"/>
              <w:pageBreakBefore w:val="0"/>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仿宋_GB2312" w:hAnsi="仿宋_GB2312" w:eastAsia="仿宋_GB2312" w:cs="仿宋_GB2312"/>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9月</w:t>
            </w:r>
          </w:p>
        </w:tc>
      </w:tr>
      <w:tr w14:paraId="7C07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64" w:type="dxa"/>
            <w:vMerge w:val="continue"/>
            <w:noWrap w:val="0"/>
            <w:vAlign w:val="center"/>
          </w:tcPr>
          <w:p w14:paraId="49D124BE">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000000" w:themeColor="text1"/>
                <w:vertAlign w:val="baseline"/>
                <w14:textFill>
                  <w14:solidFill>
                    <w14:schemeClr w14:val="tx1"/>
                  </w14:solidFill>
                </w14:textFill>
              </w:rPr>
            </w:pPr>
          </w:p>
        </w:tc>
        <w:tc>
          <w:tcPr>
            <w:tcW w:w="9102" w:type="dxa"/>
            <w:noWrap w:val="0"/>
            <w:vAlign w:val="center"/>
          </w:tcPr>
          <w:p w14:paraId="743FCE09">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t>持续深化交易协同监管工作和远程异地评标评审。</w:t>
            </w:r>
          </w:p>
        </w:tc>
        <w:tc>
          <w:tcPr>
            <w:tcW w:w="2355" w:type="dxa"/>
            <w:noWrap w:val="0"/>
            <w:vAlign w:val="center"/>
          </w:tcPr>
          <w:p w14:paraId="6D2E73F4">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区发改局</w:t>
            </w:r>
          </w:p>
        </w:tc>
        <w:tc>
          <w:tcPr>
            <w:tcW w:w="1410" w:type="dxa"/>
            <w:noWrap w:val="0"/>
            <w:vAlign w:val="center"/>
          </w:tcPr>
          <w:p w14:paraId="143E69C7">
            <w:pPr>
              <w:pStyle w:val="6"/>
              <w:keepNext w:val="0"/>
              <w:keepLines w:val="0"/>
              <w:pageBreakBefore w:val="0"/>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仿宋_GB2312" w:hAnsi="仿宋_GB2312" w:eastAsia="仿宋_GB2312" w:cs="仿宋_GB2312"/>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9月</w:t>
            </w:r>
          </w:p>
        </w:tc>
      </w:tr>
      <w:tr w14:paraId="6CE5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64" w:type="dxa"/>
            <w:vMerge w:val="continue"/>
            <w:noWrap w:val="0"/>
            <w:vAlign w:val="center"/>
          </w:tcPr>
          <w:p w14:paraId="68E1FC6E">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79D9C99D">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（6）</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深化政府采购项目电子合同</w:t>
            </w:r>
            <w:r>
              <w:rPr>
                <w:rFonts w:hint="default" w:ascii="仿宋_GB2312" w:hAnsi="仿宋_GB2312" w:eastAsia="仿宋_GB2312" w:cs="仿宋_GB2312"/>
                <w:color w:val="000000" w:themeColor="text1"/>
                <w:sz w:val="21"/>
                <w:szCs w:val="21"/>
                <w:lang w:eastAsia="zh-CN"/>
                <w14:textFill>
                  <w14:solidFill>
                    <w14:schemeClr w14:val="tx1"/>
                  </w14:solidFill>
                </w14:textFill>
              </w:rPr>
              <w:t>应用</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管理，</w:t>
            </w:r>
            <w:r>
              <w:rPr>
                <w:rFonts w:hint="eastAsia" w:ascii="仿宋_GB2312" w:hAnsi="仿宋_GB2312" w:eastAsia="仿宋_GB2312" w:cs="仿宋_GB2312"/>
                <w:strike w:val="0"/>
                <w:dstrike w:val="0"/>
                <w:color w:val="000000" w:themeColor="text1"/>
                <w:spacing w:val="0"/>
                <w:sz w:val="21"/>
                <w:szCs w:val="21"/>
                <w:highlight w:val="none"/>
                <w:u w:val="none"/>
                <w:lang w:val="en-US" w:eastAsia="zh-CN"/>
                <w14:textFill>
                  <w14:solidFill>
                    <w14:schemeClr w14:val="tx1"/>
                  </w14:solidFill>
                </w14:textFill>
              </w:rPr>
              <w:t>打造便利化政府采购环境</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w:t>
            </w:r>
          </w:p>
        </w:tc>
        <w:tc>
          <w:tcPr>
            <w:tcW w:w="2355" w:type="dxa"/>
            <w:noWrap w:val="0"/>
            <w:vAlign w:val="center"/>
          </w:tcPr>
          <w:p w14:paraId="6F027039">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区财政局</w:t>
            </w:r>
          </w:p>
        </w:tc>
        <w:tc>
          <w:tcPr>
            <w:tcW w:w="1410" w:type="dxa"/>
            <w:noWrap w:val="0"/>
            <w:vAlign w:val="center"/>
          </w:tcPr>
          <w:p w14:paraId="6EE110FF">
            <w:pPr>
              <w:pStyle w:val="6"/>
              <w:keepNext w:val="0"/>
              <w:keepLines w:val="0"/>
              <w:pageBreakBefore w:val="0"/>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9月</w:t>
            </w:r>
          </w:p>
        </w:tc>
      </w:tr>
      <w:tr w14:paraId="6237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864" w:type="dxa"/>
            <w:vMerge w:val="continue"/>
            <w:noWrap w:val="0"/>
            <w:vAlign w:val="center"/>
          </w:tcPr>
          <w:p w14:paraId="0F9B3AE6">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1318B981">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default"/>
                <w:color w:val="000000" w:themeColor="text1"/>
                <w:sz w:val="21"/>
                <w:szCs w:val="21"/>
                <w:vertAlign w:val="baseline"/>
                <w:lang w:val="en-US"/>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t>年内开展工程建设项目“双随机、一公开”执法检查不少于2次</w:t>
            </w: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w:t>
            </w:r>
          </w:p>
        </w:tc>
        <w:tc>
          <w:tcPr>
            <w:tcW w:w="2355" w:type="dxa"/>
            <w:noWrap w:val="0"/>
            <w:vAlign w:val="center"/>
          </w:tcPr>
          <w:p w14:paraId="07D7617F">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区发改局</w:t>
            </w:r>
          </w:p>
        </w:tc>
        <w:tc>
          <w:tcPr>
            <w:tcW w:w="1410" w:type="dxa"/>
            <w:noWrap w:val="0"/>
            <w:vAlign w:val="center"/>
          </w:tcPr>
          <w:p w14:paraId="7EF5E97B">
            <w:pPr>
              <w:pStyle w:val="6"/>
              <w:keepNext w:val="0"/>
              <w:keepLines w:val="0"/>
              <w:pageBreakBefore w:val="0"/>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9月</w:t>
            </w:r>
          </w:p>
        </w:tc>
      </w:tr>
      <w:tr w14:paraId="10AD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64" w:type="dxa"/>
            <w:vMerge w:val="continue"/>
            <w:noWrap w:val="0"/>
            <w:vAlign w:val="center"/>
          </w:tcPr>
          <w:p w14:paraId="54F4AAE6">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4C9BDB58">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sz w:val="21"/>
                <w:szCs w:val="2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t>授予中小企业合同金额占全部政府采购合同金额比例要达到90%以上</w:t>
            </w: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w:t>
            </w:r>
          </w:p>
        </w:tc>
        <w:tc>
          <w:tcPr>
            <w:tcW w:w="2355" w:type="dxa"/>
            <w:noWrap w:val="0"/>
            <w:vAlign w:val="center"/>
          </w:tcPr>
          <w:p w14:paraId="579C9B83">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eastAsiaTheme="minorEastAsia"/>
                <w:color w:val="000000" w:themeColor="text1"/>
                <w:vertAlign w:val="baseline"/>
                <w:lang w:eastAsia="zh-CN"/>
                <w14:textFill>
                  <w14:solidFill>
                    <w14:schemeClr w14:val="tx1"/>
                  </w14:solidFill>
                </w14:textFill>
              </w:rPr>
            </w:pPr>
            <w:r>
              <w:rPr>
                <w:rFonts w:hint="eastAsia" w:ascii="仿宋_GB2312" w:hAnsi="仿宋_GB2312" w:eastAsia="仿宋_GB2312" w:cs="仿宋_GB2312"/>
                <w:color w:val="000000" w:themeColor="text1"/>
                <w:vertAlign w:val="baseline"/>
                <w:lang w:eastAsia="zh-CN"/>
                <w14:textFill>
                  <w14:solidFill>
                    <w14:schemeClr w14:val="tx1"/>
                  </w14:solidFill>
                </w14:textFill>
              </w:rPr>
              <w:t>区财政局</w:t>
            </w:r>
          </w:p>
        </w:tc>
        <w:tc>
          <w:tcPr>
            <w:tcW w:w="1410" w:type="dxa"/>
            <w:noWrap w:val="0"/>
            <w:vAlign w:val="center"/>
          </w:tcPr>
          <w:p w14:paraId="07B96E27">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23D7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64" w:type="dxa"/>
            <w:vMerge w:val="continue"/>
            <w:noWrap w:val="0"/>
            <w:vAlign w:val="center"/>
          </w:tcPr>
          <w:p w14:paraId="71815DDB">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092639A4">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t>各行业远程异地评标比重占到全部交易数量的30%以上。</w:t>
            </w:r>
          </w:p>
        </w:tc>
        <w:tc>
          <w:tcPr>
            <w:tcW w:w="2355" w:type="dxa"/>
            <w:noWrap w:val="0"/>
            <w:vAlign w:val="center"/>
          </w:tcPr>
          <w:p w14:paraId="41458013">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区发改局</w:t>
            </w:r>
          </w:p>
        </w:tc>
        <w:tc>
          <w:tcPr>
            <w:tcW w:w="1410" w:type="dxa"/>
            <w:noWrap w:val="0"/>
            <w:vAlign w:val="center"/>
          </w:tcPr>
          <w:p w14:paraId="01E0DB7B">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default"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7C2E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864" w:type="dxa"/>
            <w:vMerge w:val="restart"/>
            <w:noWrap w:val="0"/>
            <w:vAlign w:val="center"/>
          </w:tcPr>
          <w:p w14:paraId="197EF469">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3.打造精准高效监管模式</w:t>
            </w:r>
          </w:p>
        </w:tc>
        <w:tc>
          <w:tcPr>
            <w:tcW w:w="9102" w:type="dxa"/>
            <w:noWrap w:val="0"/>
            <w:vAlign w:val="center"/>
          </w:tcPr>
          <w:p w14:paraId="2AF01E39">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eastAsia="仿宋_GB2312"/>
                <w:color w:val="000000" w:themeColor="text1"/>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（10）</w:t>
            </w:r>
            <w:r>
              <w:rPr>
                <w:rFonts w:hint="eastAsia" w:ascii="仿宋_GB2312" w:hAnsi="仿宋_GB2312" w:eastAsia="仿宋_GB2312" w:cs="仿宋_GB2312"/>
                <w:color w:val="000000" w:themeColor="text1"/>
                <w:sz w:val="21"/>
                <w:szCs w:val="21"/>
                <w14:textFill>
                  <w14:solidFill>
                    <w14:schemeClr w14:val="tx1"/>
                  </w14:solidFill>
                </w14:textFill>
              </w:rPr>
              <w:t>优</w:t>
            </w:r>
            <w:r>
              <w:rPr>
                <w:rFonts w:hint="eastAsia" w:ascii="仿宋_GB2312" w:hAnsi="仿宋_GB2312" w:eastAsia="仿宋_GB2312" w:cs="仿宋_GB2312"/>
                <w:b w:val="0"/>
                <w:bCs w:val="0"/>
                <w:color w:val="000000" w:themeColor="text1"/>
                <w:sz w:val="21"/>
                <w:szCs w:val="21"/>
                <w14:textFill>
                  <w14:solidFill>
                    <w14:schemeClr w14:val="tx1"/>
                  </w14:solidFill>
                </w14:textFill>
              </w:rPr>
              <w:t>化跨部门</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“一业一查”</w:t>
            </w:r>
            <w:r>
              <w:rPr>
                <w:rFonts w:hint="eastAsia" w:ascii="仿宋_GB2312" w:hAnsi="仿宋_GB2312" w:eastAsia="仿宋_GB2312" w:cs="仿宋_GB2312"/>
                <w:b w:val="0"/>
                <w:bCs w:val="0"/>
                <w:color w:val="000000" w:themeColor="text1"/>
                <w:sz w:val="21"/>
                <w:szCs w:val="21"/>
                <w14:textFill>
                  <w14:solidFill>
                    <w14:schemeClr w14:val="tx1"/>
                  </w14:solidFill>
                </w14:textFill>
              </w:rPr>
              <w:t>“综合监管一件事”，推行“扫码入企”、跨部门检查结果互认共享，建立多头执法、重复检查智能预警监督机制</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w:t>
            </w:r>
          </w:p>
        </w:tc>
        <w:tc>
          <w:tcPr>
            <w:tcW w:w="2355" w:type="dxa"/>
            <w:noWrap w:val="0"/>
            <w:vAlign w:val="center"/>
          </w:tcPr>
          <w:p w14:paraId="4B413A5A">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区市场监管局</w:t>
            </w:r>
          </w:p>
          <w:p w14:paraId="74F6F499">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区属各相关责任部门</w:t>
            </w:r>
          </w:p>
        </w:tc>
        <w:tc>
          <w:tcPr>
            <w:tcW w:w="1410" w:type="dxa"/>
            <w:noWrap w:val="0"/>
            <w:vAlign w:val="center"/>
          </w:tcPr>
          <w:p w14:paraId="77FB172E">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6月</w:t>
            </w:r>
          </w:p>
        </w:tc>
      </w:tr>
      <w:tr w14:paraId="1234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864" w:type="dxa"/>
            <w:vMerge w:val="continue"/>
            <w:noWrap w:val="0"/>
            <w:vAlign w:val="center"/>
          </w:tcPr>
          <w:p w14:paraId="08E153AA">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6E0BB221">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21"/>
                <w:szCs w:val="21"/>
                <w14:textFill>
                  <w14:solidFill>
                    <w14:schemeClr w14:val="tx1"/>
                  </w14:solidFill>
                </w14:textFill>
              </w:rPr>
              <w:t>深化包容审慎监管，探索运用大数据、人工智能等技术</w:t>
            </w:r>
            <w:r>
              <w:rPr>
                <w:rFonts w:hint="eastAsia" w:ascii="仿宋_GB2312" w:hAnsi="仿宋_GB2312" w:eastAsia="仿宋_GB2312" w:cs="仿宋_GB2312"/>
                <w:color w:val="000000" w:themeColor="text1"/>
                <w:sz w:val="21"/>
                <w:szCs w:val="21"/>
                <w14:textFill>
                  <w14:solidFill>
                    <w14:schemeClr w14:val="tx1"/>
                  </w14:solidFill>
                </w14:textFill>
              </w:rPr>
              <w:t>赋能非现场检查。</w:t>
            </w:r>
          </w:p>
        </w:tc>
        <w:tc>
          <w:tcPr>
            <w:tcW w:w="2355" w:type="dxa"/>
            <w:noWrap w:val="0"/>
            <w:vAlign w:val="center"/>
          </w:tcPr>
          <w:p w14:paraId="17F0C107">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区市场监管局</w:t>
            </w:r>
          </w:p>
          <w:p w14:paraId="1A14FCFC">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区属各相关责任部门</w:t>
            </w:r>
          </w:p>
        </w:tc>
        <w:tc>
          <w:tcPr>
            <w:tcW w:w="1410" w:type="dxa"/>
            <w:noWrap w:val="0"/>
            <w:vAlign w:val="center"/>
          </w:tcPr>
          <w:p w14:paraId="76E24588">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10月</w:t>
            </w:r>
          </w:p>
        </w:tc>
      </w:tr>
      <w:tr w14:paraId="1143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864" w:type="dxa"/>
            <w:vMerge w:val="continue"/>
            <w:noWrap w:val="0"/>
            <w:vAlign w:val="center"/>
          </w:tcPr>
          <w:p w14:paraId="1DF55645">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0F0BF040">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w:t>
            </w:r>
            <w:r>
              <w:rPr>
                <w:rFonts w:hint="eastAsia" w:ascii="仿宋_GB2312" w:hAnsi="仿宋_GB2312" w:eastAsia="仿宋_GB2312" w:cs="仿宋_GB2312"/>
                <w:color w:val="000000" w:themeColor="text1"/>
                <w:sz w:val="21"/>
                <w:szCs w:val="21"/>
                <w14:textFill>
                  <w14:solidFill>
                    <w14:schemeClr w14:val="tx1"/>
                  </w14:solidFill>
                </w14:textFill>
              </w:rPr>
              <w:t>制订预付式消费领域综合监管风险隐患清单，提升识别感知、预警推送、发现处置能力。</w:t>
            </w:r>
          </w:p>
        </w:tc>
        <w:tc>
          <w:tcPr>
            <w:tcW w:w="2355" w:type="dxa"/>
            <w:noWrap w:val="0"/>
            <w:vAlign w:val="center"/>
          </w:tcPr>
          <w:p w14:paraId="597895E5">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区市场监管局</w:t>
            </w:r>
          </w:p>
          <w:p w14:paraId="339FCAC5">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区属各相关责任部门</w:t>
            </w:r>
          </w:p>
        </w:tc>
        <w:tc>
          <w:tcPr>
            <w:tcW w:w="1410" w:type="dxa"/>
            <w:noWrap w:val="0"/>
            <w:vAlign w:val="center"/>
          </w:tcPr>
          <w:p w14:paraId="210E0896">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10月</w:t>
            </w:r>
          </w:p>
        </w:tc>
      </w:tr>
      <w:tr w14:paraId="071F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864" w:type="dxa"/>
            <w:vMerge w:val="continue"/>
            <w:noWrap w:val="0"/>
            <w:vAlign w:val="center"/>
          </w:tcPr>
          <w:p w14:paraId="7FF014DC">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78239C2B">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（13）</w:t>
            </w:r>
            <w:r>
              <w:rPr>
                <w:rFonts w:hint="eastAsia" w:ascii="仿宋_GB2312" w:hAnsi="仿宋_GB2312" w:eastAsia="仿宋_GB2312" w:cs="仿宋_GB2312"/>
                <w:color w:val="000000" w:themeColor="text1"/>
                <w:sz w:val="21"/>
                <w:szCs w:val="21"/>
                <w14:textFill>
                  <w14:solidFill>
                    <w14:schemeClr w14:val="tx1"/>
                  </w14:solidFill>
                </w14:textFill>
              </w:rPr>
              <w:t>市场监管领域部门“双随机、一公开”抽查事项覆盖率要达到</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70</w:t>
            </w:r>
            <w:r>
              <w:rPr>
                <w:rFonts w:hint="eastAsia" w:ascii="仿宋_GB2312" w:hAnsi="仿宋_GB2312" w:eastAsia="仿宋_GB2312" w:cs="仿宋_GB2312"/>
                <w:color w:val="000000" w:themeColor="text1"/>
                <w:sz w:val="21"/>
                <w:szCs w:val="21"/>
                <w14:textFill>
                  <w14:solidFill>
                    <w14:schemeClr w14:val="tx1"/>
                  </w14:solidFill>
                </w14:textFill>
              </w:rPr>
              <w:t>%以上，部门联合“双随机”抽查任务占所有“双随机”抽查任务要达到6</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w:t>
            </w:r>
            <w:r>
              <w:rPr>
                <w:rFonts w:hint="eastAsia" w:ascii="仿宋_GB2312" w:hAnsi="仿宋_GB2312" w:eastAsia="仿宋_GB2312" w:cs="仿宋_GB2312"/>
                <w:color w:val="000000" w:themeColor="text1"/>
                <w:sz w:val="21"/>
                <w:szCs w:val="21"/>
                <w14:textFill>
                  <w14:solidFill>
                    <w14:schemeClr w14:val="tx1"/>
                  </w14:solidFill>
                </w14:textFill>
              </w:rPr>
              <w:t>%以上</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2355" w:type="dxa"/>
            <w:noWrap w:val="0"/>
            <w:vAlign w:val="center"/>
          </w:tcPr>
          <w:p w14:paraId="013B97E5">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区市场监管局</w:t>
            </w:r>
          </w:p>
          <w:p w14:paraId="7CB03AF5">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区属各相关责任部门</w:t>
            </w:r>
          </w:p>
        </w:tc>
        <w:tc>
          <w:tcPr>
            <w:tcW w:w="1410" w:type="dxa"/>
            <w:noWrap w:val="0"/>
            <w:vAlign w:val="center"/>
          </w:tcPr>
          <w:p w14:paraId="09EC3A9E">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5838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864" w:type="dxa"/>
            <w:vMerge w:val="restart"/>
            <w:noWrap w:val="0"/>
            <w:vAlign w:val="center"/>
          </w:tcPr>
          <w:p w14:paraId="4490F0F3">
            <w:pPr>
              <w:keepNext w:val="0"/>
              <w:keepLines w:val="0"/>
              <w:pageBreakBefore w:val="0"/>
              <w:kinsoku/>
              <w:wordWrap/>
              <w:overflowPunct/>
              <w:topLinePunct w:val="0"/>
              <w:autoSpaceDE/>
              <w:autoSpaceDN/>
              <w:bidi w:val="0"/>
              <w:adjustRightInd/>
              <w:snapToGrid/>
              <w:spacing w:beforeAutospacing="0" w:afterAutospacing="0" w:line="300" w:lineRule="exact"/>
              <w:jc w:val="left"/>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4.</w:t>
            </w:r>
            <w:r>
              <w:rPr>
                <w:rFonts w:hint="eastAsia" w:ascii="仿宋_GB2312" w:hAnsi="仿宋_GB2312" w:eastAsia="仿宋_GB2312" w:cs="仿宋_GB2312"/>
                <w:color w:val="000000" w:themeColor="text1"/>
                <w:sz w:val="21"/>
                <w:szCs w:val="21"/>
                <w14:textFill>
                  <w14:solidFill>
                    <w14:schemeClr w14:val="tx1"/>
                  </w14:solidFill>
                </w14:textFill>
              </w:rPr>
              <w:t>强化信用体系建设水平</w:t>
            </w:r>
          </w:p>
        </w:tc>
        <w:tc>
          <w:tcPr>
            <w:tcW w:w="9102" w:type="dxa"/>
            <w:noWrap w:val="0"/>
            <w:vAlign w:val="center"/>
          </w:tcPr>
          <w:p w14:paraId="11B6DB5F">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（14）</w:t>
            </w:r>
            <w:r>
              <w:rPr>
                <w:rFonts w:hint="eastAsia" w:ascii="仿宋_GB2312" w:hAnsi="仿宋_GB2312" w:eastAsia="仿宋_GB2312" w:cs="仿宋_GB2312"/>
                <w:color w:val="000000" w:themeColor="text1"/>
                <w:sz w:val="21"/>
                <w:szCs w:val="21"/>
                <w14:textFill>
                  <w14:solidFill>
                    <w14:schemeClr w14:val="tx1"/>
                  </w14:solidFill>
                </w14:textFill>
              </w:rPr>
              <w:t>提升城市信用状况监测效能，完善信用评价和分级分类监管机制，实行差异化监管措施。</w:t>
            </w:r>
          </w:p>
        </w:tc>
        <w:tc>
          <w:tcPr>
            <w:tcW w:w="2355" w:type="dxa"/>
            <w:noWrap w:val="0"/>
            <w:vAlign w:val="center"/>
          </w:tcPr>
          <w:p w14:paraId="2178FF87">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各乡镇、街道</w:t>
            </w:r>
          </w:p>
          <w:p w14:paraId="3BB8E0D8">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lang w:val="en-US" w:eastAsia="zh-CN"/>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区营商环境建设局</w:t>
            </w:r>
          </w:p>
          <w:p w14:paraId="4163F3AF">
            <w:pPr>
              <w:pStyle w:val="7"/>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pPr>
          </w:p>
        </w:tc>
        <w:tc>
          <w:tcPr>
            <w:tcW w:w="1410" w:type="dxa"/>
            <w:noWrap w:val="0"/>
            <w:vAlign w:val="center"/>
          </w:tcPr>
          <w:p w14:paraId="67ACE31C">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02C5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864" w:type="dxa"/>
            <w:vMerge w:val="continue"/>
            <w:noWrap w:val="0"/>
            <w:vAlign w:val="center"/>
          </w:tcPr>
          <w:p w14:paraId="5732616F">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0D7F4888">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（15）</w:t>
            </w:r>
            <w:r>
              <w:rPr>
                <w:rFonts w:hint="eastAsia" w:ascii="仿宋_GB2312" w:hAnsi="仿宋_GB2312" w:eastAsia="仿宋_GB2312" w:cs="仿宋_GB2312"/>
                <w:color w:val="000000" w:themeColor="text1"/>
                <w:sz w:val="21"/>
                <w:szCs w:val="21"/>
                <w14:textFill>
                  <w14:solidFill>
                    <w14:schemeClr w14:val="tx1"/>
                  </w14:solidFill>
                </w14:textFill>
              </w:rPr>
              <w:t>持续推进“双公示”、行政管理、合同履约、信用承诺等信用信息归集公示，加强企业水电气、新型农业经营主体、社保、医保等特定信用信息归集共享。</w:t>
            </w:r>
          </w:p>
        </w:tc>
        <w:tc>
          <w:tcPr>
            <w:tcW w:w="2355" w:type="dxa"/>
            <w:noWrap w:val="0"/>
            <w:vAlign w:val="center"/>
          </w:tcPr>
          <w:p w14:paraId="337E15EA">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各乡镇、街道</w:t>
            </w:r>
          </w:p>
          <w:p w14:paraId="40F9C1E9">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区营商环境建设局</w:t>
            </w:r>
          </w:p>
          <w:p w14:paraId="032BA51B">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lang w:val="en-US" w:eastAsia="zh-CN"/>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区属各相关责任部门</w:t>
            </w:r>
          </w:p>
        </w:tc>
        <w:tc>
          <w:tcPr>
            <w:tcW w:w="1410" w:type="dxa"/>
            <w:noWrap w:val="0"/>
            <w:vAlign w:val="center"/>
          </w:tcPr>
          <w:p w14:paraId="5D281079">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7C9E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864" w:type="dxa"/>
            <w:vMerge w:val="continue"/>
            <w:noWrap w:val="0"/>
            <w:vAlign w:val="center"/>
          </w:tcPr>
          <w:p w14:paraId="0B97D698">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6258ADE8">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（16）</w:t>
            </w:r>
            <w:r>
              <w:rPr>
                <w:rFonts w:hint="eastAsia" w:ascii="仿宋_GB2312" w:hAnsi="仿宋_GB2312" w:eastAsia="仿宋_GB2312" w:cs="仿宋_GB2312"/>
                <w:color w:val="000000" w:themeColor="text1"/>
                <w:sz w:val="21"/>
                <w:szCs w:val="21"/>
                <w14:textFill>
                  <w14:solidFill>
                    <w14:schemeClr w14:val="tx1"/>
                  </w14:solidFill>
                </w14:textFill>
              </w:rPr>
              <w:t>创新拓展“信易+”惠企便民应用场景，推广更多领域实行专用信用报告代替无违法违规证明。</w:t>
            </w:r>
          </w:p>
        </w:tc>
        <w:tc>
          <w:tcPr>
            <w:tcW w:w="2355" w:type="dxa"/>
            <w:noWrap w:val="0"/>
            <w:vAlign w:val="center"/>
          </w:tcPr>
          <w:p w14:paraId="7C9E2598">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区营商环境建设局</w:t>
            </w:r>
          </w:p>
          <w:p w14:paraId="51A171F1">
            <w:pPr>
              <w:pStyle w:val="7"/>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lang w:val="en-US" w:eastAsia="zh-CN"/>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区属各相关责任部门</w:t>
            </w:r>
          </w:p>
        </w:tc>
        <w:tc>
          <w:tcPr>
            <w:tcW w:w="1410" w:type="dxa"/>
            <w:noWrap w:val="0"/>
            <w:vAlign w:val="center"/>
          </w:tcPr>
          <w:p w14:paraId="3C299AD5">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12C1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864" w:type="dxa"/>
            <w:vMerge w:val="continue"/>
            <w:noWrap w:val="0"/>
            <w:vAlign w:val="center"/>
          </w:tcPr>
          <w:p w14:paraId="4271EC1E">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3C6B7955">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（17）</w:t>
            </w:r>
            <w:r>
              <w:rPr>
                <w:rFonts w:hint="eastAsia" w:ascii="仿宋_GB2312" w:hAnsi="仿宋_GB2312" w:eastAsia="仿宋_GB2312" w:cs="仿宋_GB2312"/>
                <w:color w:val="000000" w:themeColor="text1"/>
                <w:sz w:val="21"/>
                <w:szCs w:val="21"/>
                <w14:textFill>
                  <w14:solidFill>
                    <w14:schemeClr w14:val="tx1"/>
                  </w14:solidFill>
                </w14:textFill>
              </w:rPr>
              <w:t>全面落实信用修复工作机制，探索失信行为纠正信息共享、申请信息智能预填等便利化措施。</w:t>
            </w:r>
          </w:p>
        </w:tc>
        <w:tc>
          <w:tcPr>
            <w:tcW w:w="2355" w:type="dxa"/>
            <w:noWrap w:val="0"/>
            <w:vAlign w:val="center"/>
          </w:tcPr>
          <w:p w14:paraId="23BA0117">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区营商环境建设局</w:t>
            </w:r>
          </w:p>
          <w:p w14:paraId="65E60006">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区属各相关责任部门</w:t>
            </w:r>
          </w:p>
        </w:tc>
        <w:tc>
          <w:tcPr>
            <w:tcW w:w="1410" w:type="dxa"/>
            <w:noWrap w:val="0"/>
            <w:vAlign w:val="center"/>
          </w:tcPr>
          <w:p w14:paraId="6E2E0DC0">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511C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864" w:type="dxa"/>
            <w:vMerge w:val="continue"/>
            <w:noWrap w:val="0"/>
            <w:vAlign w:val="center"/>
          </w:tcPr>
          <w:p w14:paraId="000323E9">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0CEFBFF7">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（18）</w:t>
            </w:r>
            <w:r>
              <w:rPr>
                <w:rFonts w:hint="eastAsia" w:ascii="仿宋_GB2312" w:hAnsi="仿宋_GB2312" w:eastAsia="仿宋_GB2312" w:cs="仿宋_GB2312"/>
                <w:color w:val="000000" w:themeColor="text1"/>
                <w:sz w:val="21"/>
                <w:szCs w:val="21"/>
                <w14:textFill>
                  <w14:solidFill>
                    <w14:schemeClr w14:val="tx1"/>
                  </w14:solidFill>
                </w14:textFill>
              </w:rPr>
              <w:t>大力推广使用“甘肃信易贷·陇信通”平台，</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有效提升中小微企业融资便利水平。</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p>
        </w:tc>
        <w:tc>
          <w:tcPr>
            <w:tcW w:w="2355" w:type="dxa"/>
            <w:noWrap w:val="0"/>
            <w:vAlign w:val="center"/>
          </w:tcPr>
          <w:p w14:paraId="39335B8D">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区财政局</w:t>
            </w:r>
          </w:p>
          <w:p w14:paraId="15092474">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lang w:val="en-US" w:eastAsia="zh-CN"/>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区营商环境建设局</w:t>
            </w:r>
          </w:p>
        </w:tc>
        <w:tc>
          <w:tcPr>
            <w:tcW w:w="1410" w:type="dxa"/>
            <w:noWrap w:val="0"/>
            <w:vAlign w:val="center"/>
          </w:tcPr>
          <w:p w14:paraId="7A0550B3">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0F50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864" w:type="dxa"/>
            <w:vMerge w:val="restart"/>
            <w:noWrap w:val="0"/>
            <w:vAlign w:val="center"/>
          </w:tcPr>
          <w:p w14:paraId="47D51550">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5.加强用地要素供给</w:t>
            </w:r>
          </w:p>
        </w:tc>
        <w:tc>
          <w:tcPr>
            <w:tcW w:w="9102" w:type="dxa"/>
            <w:noWrap w:val="0"/>
            <w:vAlign w:val="center"/>
          </w:tcPr>
          <w:p w14:paraId="0997D0D0">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（19）健全完善“多规合一”国土空间规划体系和“一张图”实施监督信息系统。</w:t>
            </w:r>
          </w:p>
        </w:tc>
        <w:tc>
          <w:tcPr>
            <w:tcW w:w="2355" w:type="dxa"/>
            <w:noWrap w:val="0"/>
            <w:vAlign w:val="center"/>
          </w:tcPr>
          <w:p w14:paraId="2E3A1763">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市自然资源局甘州分局</w:t>
            </w:r>
          </w:p>
        </w:tc>
        <w:tc>
          <w:tcPr>
            <w:tcW w:w="1410" w:type="dxa"/>
            <w:noWrap w:val="0"/>
            <w:vAlign w:val="center"/>
          </w:tcPr>
          <w:p w14:paraId="2EC0DF5E">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10月</w:t>
            </w:r>
          </w:p>
        </w:tc>
      </w:tr>
      <w:tr w14:paraId="2362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864" w:type="dxa"/>
            <w:vMerge w:val="continue"/>
            <w:noWrap w:val="0"/>
            <w:vAlign w:val="center"/>
          </w:tcPr>
          <w:p w14:paraId="43D0256B">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p>
        </w:tc>
        <w:tc>
          <w:tcPr>
            <w:tcW w:w="9102" w:type="dxa"/>
            <w:noWrap w:val="0"/>
            <w:vAlign w:val="center"/>
          </w:tcPr>
          <w:p w14:paraId="0EE58B9C">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（20）严格耕地占补平衡管理，完善耕地占补平衡制度，加强补充耕地指标储备，优先保障“三个清单”重点项目落地。</w:t>
            </w:r>
          </w:p>
        </w:tc>
        <w:tc>
          <w:tcPr>
            <w:tcW w:w="2355" w:type="dxa"/>
            <w:noWrap w:val="0"/>
            <w:vAlign w:val="center"/>
          </w:tcPr>
          <w:p w14:paraId="22F01C87">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市自然资源局甘州分局</w:t>
            </w:r>
          </w:p>
        </w:tc>
        <w:tc>
          <w:tcPr>
            <w:tcW w:w="1410" w:type="dxa"/>
            <w:noWrap w:val="0"/>
            <w:vAlign w:val="center"/>
          </w:tcPr>
          <w:p w14:paraId="04D2A05A">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10月</w:t>
            </w:r>
          </w:p>
        </w:tc>
      </w:tr>
      <w:tr w14:paraId="109B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864" w:type="dxa"/>
            <w:vMerge w:val="continue"/>
            <w:noWrap w:val="0"/>
            <w:vAlign w:val="center"/>
          </w:tcPr>
          <w:p w14:paraId="3F063035">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p>
        </w:tc>
        <w:tc>
          <w:tcPr>
            <w:tcW w:w="9102" w:type="dxa"/>
            <w:noWrap w:val="0"/>
            <w:vAlign w:val="center"/>
          </w:tcPr>
          <w:p w14:paraId="129048AE">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（21）降低用地成本，对现有工业用地不改变土地用途且符合规划，通过增加厂房层数等方式增加容积率的，不增收土地价款。</w:t>
            </w:r>
          </w:p>
        </w:tc>
        <w:tc>
          <w:tcPr>
            <w:tcW w:w="2355" w:type="dxa"/>
            <w:noWrap w:val="0"/>
            <w:vAlign w:val="center"/>
          </w:tcPr>
          <w:p w14:paraId="2213F749">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市自然资源局甘州分局</w:t>
            </w:r>
          </w:p>
        </w:tc>
        <w:tc>
          <w:tcPr>
            <w:tcW w:w="1410" w:type="dxa"/>
            <w:noWrap w:val="0"/>
            <w:vAlign w:val="center"/>
          </w:tcPr>
          <w:p w14:paraId="5196EFB5">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10月</w:t>
            </w:r>
          </w:p>
        </w:tc>
      </w:tr>
      <w:tr w14:paraId="47A8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864" w:type="dxa"/>
            <w:vMerge w:val="continue"/>
            <w:noWrap w:val="0"/>
            <w:vAlign w:val="center"/>
          </w:tcPr>
          <w:p w14:paraId="231474A1">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p>
        </w:tc>
        <w:tc>
          <w:tcPr>
            <w:tcW w:w="9102" w:type="dxa"/>
            <w:noWrap w:val="0"/>
            <w:vAlign w:val="center"/>
          </w:tcPr>
          <w:p w14:paraId="4D2AA572">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（22）支持以长期租赁、先租后让、弹性年期出让等多种方式供应土地，全面启用土地二级市场线上交易服务功能。</w:t>
            </w:r>
          </w:p>
        </w:tc>
        <w:tc>
          <w:tcPr>
            <w:tcW w:w="2355" w:type="dxa"/>
            <w:noWrap w:val="0"/>
            <w:vAlign w:val="center"/>
          </w:tcPr>
          <w:p w14:paraId="17C43FE6">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市自然资源局甘州分局</w:t>
            </w:r>
          </w:p>
        </w:tc>
        <w:tc>
          <w:tcPr>
            <w:tcW w:w="1410" w:type="dxa"/>
            <w:noWrap w:val="0"/>
            <w:vAlign w:val="center"/>
          </w:tcPr>
          <w:p w14:paraId="692B7BB4">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10月</w:t>
            </w:r>
          </w:p>
        </w:tc>
      </w:tr>
      <w:tr w14:paraId="1EFA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864" w:type="dxa"/>
            <w:vMerge w:val="continue"/>
            <w:noWrap w:val="0"/>
            <w:vAlign w:val="center"/>
          </w:tcPr>
          <w:p w14:paraId="28CCFBFF">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p>
        </w:tc>
        <w:tc>
          <w:tcPr>
            <w:tcW w:w="9102" w:type="dxa"/>
            <w:noWrap w:val="0"/>
            <w:vAlign w:val="center"/>
          </w:tcPr>
          <w:p w14:paraId="453A0FBB">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（23）推动解决因用地手续不完善等导致的不动产“登记难”问题。</w:t>
            </w:r>
          </w:p>
        </w:tc>
        <w:tc>
          <w:tcPr>
            <w:tcW w:w="2355" w:type="dxa"/>
            <w:noWrap w:val="0"/>
            <w:vAlign w:val="center"/>
          </w:tcPr>
          <w:p w14:paraId="7C2D0019">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市自然资源局甘州分局</w:t>
            </w:r>
          </w:p>
        </w:tc>
        <w:tc>
          <w:tcPr>
            <w:tcW w:w="1410" w:type="dxa"/>
            <w:noWrap w:val="0"/>
            <w:vAlign w:val="center"/>
          </w:tcPr>
          <w:p w14:paraId="493BAB80">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10月</w:t>
            </w:r>
          </w:p>
        </w:tc>
      </w:tr>
      <w:tr w14:paraId="6D80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64" w:type="dxa"/>
            <w:vMerge w:val="restart"/>
            <w:noWrap w:val="0"/>
            <w:vAlign w:val="center"/>
          </w:tcPr>
          <w:p w14:paraId="361AEC8E">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spacing w:val="-11"/>
                <w:sz w:val="21"/>
                <w:vertAlign w:val="baseline"/>
                <w14:textFill>
                  <w14:solidFill>
                    <w14:schemeClr w14:val="tx1"/>
                  </w14:solidFill>
                </w14:textFill>
              </w:rPr>
            </w:pPr>
            <w:r>
              <w:rPr>
                <w:rFonts w:hint="eastAsia" w:ascii="仿宋_GB2312" w:hAnsi="仿宋_GB2312" w:eastAsia="仿宋_GB2312" w:cs="仿宋_GB2312"/>
                <w:b w:val="0"/>
                <w:bCs w:val="0"/>
                <w:color w:val="000000" w:themeColor="text1"/>
                <w:spacing w:val="-11"/>
                <w:sz w:val="21"/>
                <w:szCs w:val="21"/>
                <w:lang w:val="en-US" w:eastAsia="zh-CN"/>
                <w14:textFill>
                  <w14:solidFill>
                    <w14:schemeClr w14:val="tx1"/>
                  </w14:solidFill>
                </w14:textFill>
              </w:rPr>
              <w:t>6.强化人力资源服务保障</w:t>
            </w:r>
          </w:p>
        </w:tc>
        <w:tc>
          <w:tcPr>
            <w:tcW w:w="9102" w:type="dxa"/>
            <w:noWrap w:val="0"/>
            <w:vAlign w:val="center"/>
          </w:tcPr>
          <w:p w14:paraId="7B8975B2">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（24）</w:t>
            </w:r>
            <w:r>
              <w:rPr>
                <w:rFonts w:hint="eastAsia" w:ascii="仿宋_GB2312" w:hAnsi="仿宋_GB2312" w:eastAsia="仿宋_GB2312" w:cs="仿宋_GB2312"/>
                <w:color w:val="000000" w:themeColor="text1"/>
                <w:sz w:val="21"/>
                <w:szCs w:val="21"/>
                <w14:textFill>
                  <w14:solidFill>
                    <w14:schemeClr w14:val="tx1"/>
                  </w14:solidFill>
                </w14:textFill>
              </w:rPr>
              <w:t>提升公共就业服务效能，开展“援企稳岗·服务千企”行动和“10+N”公共就业服务活动</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eastAsia="仿宋_GB2312"/>
                <w:color w:val="000000" w:themeColor="text1"/>
                <w:sz w:val="21"/>
                <w:szCs w:val="21"/>
                <w14:textFill>
                  <w14:solidFill>
                    <w14:schemeClr w14:val="tx1"/>
                  </w14:solidFill>
                </w14:textFill>
              </w:rPr>
              <w:t>全年举办线上线下招聘活动</w:t>
            </w:r>
            <w:r>
              <w:rPr>
                <w:rFonts w:hint="eastAsia" w:ascii="仿宋_GB2312" w:eastAsia="仿宋_GB2312"/>
                <w:color w:val="000000" w:themeColor="text1"/>
                <w:sz w:val="21"/>
                <w:szCs w:val="21"/>
                <w:lang w:val="en-US" w:eastAsia="zh-CN"/>
                <w14:textFill>
                  <w14:solidFill>
                    <w14:schemeClr w14:val="tx1"/>
                  </w14:solidFill>
                </w14:textFill>
              </w:rPr>
              <w:t>70</w:t>
            </w:r>
            <w:r>
              <w:rPr>
                <w:rFonts w:hint="eastAsia" w:ascii="仿宋_GB2312" w:eastAsia="仿宋_GB2312"/>
                <w:color w:val="000000" w:themeColor="text1"/>
                <w:sz w:val="21"/>
                <w:szCs w:val="21"/>
                <w14:textFill>
                  <w14:solidFill>
                    <w14:schemeClr w14:val="tx1"/>
                  </w14:solidFill>
                </w14:textFill>
              </w:rPr>
              <w:t>场次以上，帮助实现</w:t>
            </w:r>
            <w:r>
              <w:rPr>
                <w:rFonts w:hint="eastAsia" w:ascii="仿宋_GB2312" w:eastAsia="仿宋_GB2312"/>
                <w:color w:val="000000" w:themeColor="text1"/>
                <w:spacing w:val="-8"/>
                <w:sz w:val="21"/>
                <w:szCs w:val="21"/>
                <w14:textFill>
                  <w14:solidFill>
                    <w14:schemeClr w14:val="tx1"/>
                  </w14:solidFill>
                </w14:textFill>
              </w:rPr>
              <w:t>就业</w:t>
            </w:r>
            <w:r>
              <w:rPr>
                <w:rFonts w:hint="eastAsia" w:ascii="仿宋_GB2312" w:eastAsia="仿宋_GB2312"/>
                <w:color w:val="000000" w:themeColor="text1"/>
                <w:spacing w:val="-8"/>
                <w:sz w:val="21"/>
                <w:szCs w:val="21"/>
                <w:lang w:val="en-US" w:eastAsia="zh-CN"/>
                <w14:textFill>
                  <w14:solidFill>
                    <w14:schemeClr w14:val="tx1"/>
                  </w14:solidFill>
                </w14:textFill>
              </w:rPr>
              <w:t>1000</w:t>
            </w:r>
            <w:r>
              <w:rPr>
                <w:rFonts w:hint="eastAsia" w:ascii="仿宋_GB2312" w:eastAsia="仿宋_GB2312"/>
                <w:color w:val="000000" w:themeColor="text1"/>
                <w:spacing w:val="-8"/>
                <w:sz w:val="21"/>
                <w:szCs w:val="21"/>
                <w14:textFill>
                  <w14:solidFill>
                    <w14:schemeClr w14:val="tx1"/>
                  </w14:solidFill>
                </w14:textFill>
              </w:rPr>
              <w:t>人次</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2355" w:type="dxa"/>
            <w:noWrap w:val="0"/>
            <w:vAlign w:val="center"/>
          </w:tcPr>
          <w:p w14:paraId="4CE7AE59">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区人社局</w:t>
            </w:r>
          </w:p>
        </w:tc>
        <w:tc>
          <w:tcPr>
            <w:tcW w:w="1410" w:type="dxa"/>
            <w:noWrap w:val="0"/>
            <w:vAlign w:val="center"/>
          </w:tcPr>
          <w:p w14:paraId="233F9BD8">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4F5A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864" w:type="dxa"/>
            <w:vMerge w:val="continue"/>
            <w:noWrap w:val="0"/>
            <w:vAlign w:val="center"/>
          </w:tcPr>
          <w:p w14:paraId="667868BB">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6494710B">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（25）</w:t>
            </w:r>
            <w:r>
              <w:rPr>
                <w:rFonts w:hint="eastAsia" w:ascii="仿宋_GB2312" w:hAnsi="仿宋_GB2312" w:eastAsia="仿宋_GB2312" w:cs="仿宋_GB2312"/>
                <w:color w:val="000000" w:themeColor="text1"/>
                <w:sz w:val="21"/>
                <w:szCs w:val="21"/>
                <w:lang w:eastAsia="zh-CN"/>
                <w14:textFill>
                  <w14:solidFill>
                    <w14:schemeClr w14:val="tx1"/>
                  </w14:solidFill>
                </w14:textFill>
              </w:rPr>
              <w:t>提升零工市场（驿站）服务水平</w:t>
            </w:r>
            <w:r>
              <w:rPr>
                <w:rFonts w:hint="eastAsia" w:ascii="仿宋_GB2312" w:hAnsi="仿宋_GB2312" w:eastAsia="仿宋_GB2312" w:cs="仿宋_GB2312"/>
                <w:color w:val="000000" w:themeColor="text1"/>
                <w:sz w:val="21"/>
                <w:szCs w:val="21"/>
                <w14:textFill>
                  <w14:solidFill>
                    <w14:schemeClr w14:val="tx1"/>
                  </w14:solidFill>
                </w14:textFill>
              </w:rPr>
              <w:t>，建立重点企业用工调度保障机制</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2355" w:type="dxa"/>
            <w:noWrap w:val="0"/>
            <w:vAlign w:val="center"/>
          </w:tcPr>
          <w:p w14:paraId="722E06F8">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区人社局</w:t>
            </w:r>
          </w:p>
        </w:tc>
        <w:tc>
          <w:tcPr>
            <w:tcW w:w="1410" w:type="dxa"/>
            <w:noWrap w:val="0"/>
            <w:vAlign w:val="center"/>
          </w:tcPr>
          <w:p w14:paraId="1639F64E">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57F5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864" w:type="dxa"/>
            <w:vMerge w:val="continue"/>
            <w:noWrap w:val="0"/>
            <w:vAlign w:val="center"/>
          </w:tcPr>
          <w:p w14:paraId="7CC616DB">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78A68225">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（26）</w:t>
            </w:r>
            <w:r>
              <w:rPr>
                <w:rFonts w:hint="eastAsia" w:ascii="仿宋_GB2312" w:hAnsi="仿宋_GB2312" w:eastAsia="仿宋_GB2312" w:cs="仿宋_GB2312"/>
                <w:color w:val="000000" w:themeColor="text1"/>
                <w:sz w:val="21"/>
                <w:szCs w:val="21"/>
                <w:lang w:eastAsia="zh-CN"/>
                <w14:textFill>
                  <w14:solidFill>
                    <w14:schemeClr w14:val="tx1"/>
                  </w14:solidFill>
                </w14:textFill>
              </w:rPr>
              <w:t>督促铁路、公路、水运、水利、能源、机场等工程建设施工企业按照建设项目依法参加工伤保险，缴纳工伤保险费。放开灵活就业人员参保户籍限制要求，将更多的灵活就业人员、农民工、新就业形态人员纳入企业职工社保制度。</w:t>
            </w:r>
          </w:p>
        </w:tc>
        <w:tc>
          <w:tcPr>
            <w:tcW w:w="2355" w:type="dxa"/>
            <w:noWrap w:val="0"/>
            <w:vAlign w:val="center"/>
          </w:tcPr>
          <w:p w14:paraId="35C3EF0F">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区人社局</w:t>
            </w:r>
          </w:p>
        </w:tc>
        <w:tc>
          <w:tcPr>
            <w:tcW w:w="1410" w:type="dxa"/>
            <w:noWrap w:val="0"/>
            <w:vAlign w:val="center"/>
          </w:tcPr>
          <w:p w14:paraId="329A7D00">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default"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340D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864" w:type="dxa"/>
            <w:vMerge w:val="continue"/>
            <w:noWrap w:val="0"/>
            <w:vAlign w:val="center"/>
          </w:tcPr>
          <w:p w14:paraId="0B2AE748">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6CE0E398">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（27）</w:t>
            </w:r>
            <w:r>
              <w:rPr>
                <w:rFonts w:hint="eastAsia" w:ascii="仿宋_GB2312" w:hAnsi="仿宋_GB2312" w:eastAsia="仿宋_GB2312" w:cs="仿宋_GB2312"/>
                <w:color w:val="000000" w:themeColor="text1"/>
                <w:sz w:val="21"/>
                <w:szCs w:val="21"/>
                <w14:textFill>
                  <w14:solidFill>
                    <w14:schemeClr w14:val="tx1"/>
                  </w14:solidFill>
                </w14:textFill>
              </w:rPr>
              <w:t>加大职业技能培训力度，开展补贴性职业技能培训</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2800</w:t>
            </w:r>
            <w:r>
              <w:rPr>
                <w:rFonts w:hint="eastAsia" w:ascii="仿宋_GB2312" w:hAnsi="仿宋_GB2312" w:eastAsia="仿宋_GB2312" w:cs="仿宋_GB2312"/>
                <w:color w:val="000000" w:themeColor="text1"/>
                <w:sz w:val="21"/>
                <w:szCs w:val="21"/>
                <w14:textFill>
                  <w14:solidFill>
                    <w14:schemeClr w14:val="tx1"/>
                  </w14:solidFill>
                </w14:textFill>
              </w:rPr>
              <w:t>人次以上。</w:t>
            </w:r>
          </w:p>
        </w:tc>
        <w:tc>
          <w:tcPr>
            <w:tcW w:w="2355" w:type="dxa"/>
            <w:noWrap w:val="0"/>
            <w:vAlign w:val="center"/>
          </w:tcPr>
          <w:p w14:paraId="2FD25691">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区人社局</w:t>
            </w:r>
          </w:p>
        </w:tc>
        <w:tc>
          <w:tcPr>
            <w:tcW w:w="1410" w:type="dxa"/>
            <w:noWrap w:val="0"/>
            <w:vAlign w:val="center"/>
          </w:tcPr>
          <w:p w14:paraId="421F77BB">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79E5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864" w:type="dxa"/>
            <w:vMerge w:val="continue"/>
            <w:noWrap w:val="0"/>
            <w:vAlign w:val="center"/>
          </w:tcPr>
          <w:p w14:paraId="3A22B895">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4A22376C">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（28）</w:t>
            </w:r>
            <w:r>
              <w:rPr>
                <w:rFonts w:hint="eastAsia" w:ascii="仿宋_GB2312" w:hAnsi="仿宋_GB2312" w:eastAsia="仿宋_GB2312" w:cs="仿宋_GB2312"/>
                <w:color w:val="000000" w:themeColor="text1"/>
                <w:sz w:val="21"/>
                <w:szCs w:val="21"/>
                <w:lang w:eastAsia="zh-CN"/>
                <w14:textFill>
                  <w14:solidFill>
                    <w14:schemeClr w14:val="tx1"/>
                  </w14:solidFill>
                </w14:textFill>
              </w:rPr>
              <w:t>实现养老、工伤、失业、社保、</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医保</w:t>
            </w:r>
            <w:r>
              <w:rPr>
                <w:rFonts w:hint="eastAsia" w:ascii="仿宋_GB2312" w:hAnsi="仿宋_GB2312" w:eastAsia="仿宋_GB2312" w:cs="仿宋_GB2312"/>
                <w:color w:val="000000" w:themeColor="text1"/>
                <w:sz w:val="21"/>
                <w:szCs w:val="21"/>
                <w:lang w:eastAsia="zh-CN"/>
                <w14:textFill>
                  <w14:solidFill>
                    <w14:schemeClr w14:val="tx1"/>
                  </w14:solidFill>
                </w14:textFill>
              </w:rPr>
              <w:t>等业务“一窗通办”。</w:t>
            </w:r>
          </w:p>
        </w:tc>
        <w:tc>
          <w:tcPr>
            <w:tcW w:w="2355" w:type="dxa"/>
            <w:noWrap w:val="0"/>
            <w:vAlign w:val="center"/>
          </w:tcPr>
          <w:p w14:paraId="4DF223EE">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区人社局</w:t>
            </w:r>
          </w:p>
        </w:tc>
        <w:tc>
          <w:tcPr>
            <w:tcW w:w="1410" w:type="dxa"/>
            <w:noWrap w:val="0"/>
            <w:vAlign w:val="center"/>
          </w:tcPr>
          <w:p w14:paraId="6690CE7E">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10月</w:t>
            </w:r>
          </w:p>
        </w:tc>
      </w:tr>
      <w:tr w14:paraId="14F3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864" w:type="dxa"/>
            <w:vMerge w:val="restart"/>
            <w:noWrap w:val="0"/>
            <w:vAlign w:val="center"/>
          </w:tcPr>
          <w:p w14:paraId="4E6FEA85">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7.提升区域协同创新水平</w:t>
            </w:r>
          </w:p>
        </w:tc>
        <w:tc>
          <w:tcPr>
            <w:tcW w:w="9102" w:type="dxa"/>
            <w:noWrap w:val="0"/>
            <w:vAlign w:val="center"/>
          </w:tcPr>
          <w:p w14:paraId="0824C2B3">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（29）</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加大对省级创新平台的争取、培育和建设力度，</w:t>
            </w:r>
            <w:r>
              <w:rPr>
                <w:rFonts w:hint="eastAsia" w:ascii="仿宋_GB2312" w:hAnsi="仿宋_GB2312" w:eastAsia="仿宋_GB2312" w:cs="仿宋_GB2312"/>
                <w:color w:val="000000" w:themeColor="text1"/>
                <w:sz w:val="21"/>
                <w:szCs w:val="21"/>
                <w:lang w:eastAsia="zh-CN"/>
                <w14:textFill>
                  <w14:solidFill>
                    <w14:schemeClr w14:val="tx1"/>
                  </w14:solidFill>
                </w14:textFill>
              </w:rPr>
              <w:t>下好创新驱动发展“先手棋”。</w:t>
            </w:r>
          </w:p>
        </w:tc>
        <w:tc>
          <w:tcPr>
            <w:tcW w:w="2355" w:type="dxa"/>
            <w:noWrap w:val="0"/>
            <w:vAlign w:val="center"/>
          </w:tcPr>
          <w:p w14:paraId="44B84586">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区科技局</w:t>
            </w:r>
          </w:p>
        </w:tc>
        <w:tc>
          <w:tcPr>
            <w:tcW w:w="1410" w:type="dxa"/>
            <w:noWrap w:val="0"/>
            <w:vAlign w:val="center"/>
          </w:tcPr>
          <w:p w14:paraId="33D0DC20">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15F5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864" w:type="dxa"/>
            <w:vMerge w:val="continue"/>
            <w:noWrap w:val="0"/>
            <w:vAlign w:val="center"/>
          </w:tcPr>
          <w:p w14:paraId="617E3B5F">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1B3C2633">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（30）</w:t>
            </w:r>
            <w:r>
              <w:rPr>
                <w:rFonts w:hint="eastAsia" w:ascii="仿宋_GB2312" w:hAnsi="仿宋_GB2312" w:eastAsia="仿宋_GB2312" w:cs="仿宋_GB2312"/>
                <w:color w:val="000000" w:themeColor="text1"/>
                <w:sz w:val="21"/>
                <w:szCs w:val="21"/>
                <w:lang w:eastAsia="zh-CN"/>
                <w14:textFill>
                  <w14:solidFill>
                    <w14:schemeClr w14:val="tx1"/>
                  </w14:solidFill>
                </w14:textFill>
              </w:rPr>
              <w:t>持续优化“科技型中小企业—省级科技创新型企业—高新技术企业”梯次培育体系，推动更多“市场主体”向“创新主体”转变，打造梯度结构合理的创新型企业集群，力争年内高新技术企业、省级科技创新型企业、科技型中小企业达到</w:t>
            </w:r>
            <w:r>
              <w:rPr>
                <w:rFonts w:hint="eastAsia" w:ascii="仿宋_GB2312" w:hAnsi="仿宋_GB2312" w:eastAsia="仿宋_GB2312" w:cs="仿宋_GB2312"/>
                <w:strike w:val="0"/>
                <w:dstrike w:val="0"/>
                <w:color w:val="000000" w:themeColor="text1"/>
                <w:sz w:val="21"/>
                <w:szCs w:val="21"/>
                <w:lang w:val="en-US" w:eastAsia="zh-CN"/>
                <w14:textFill>
                  <w14:solidFill>
                    <w14:schemeClr w14:val="tx1"/>
                  </w14:solidFill>
                </w14:textFill>
              </w:rPr>
              <w:t>72</w:t>
            </w:r>
            <w:r>
              <w:rPr>
                <w:rFonts w:hint="eastAsia" w:ascii="仿宋_GB2312" w:hAnsi="仿宋_GB2312" w:eastAsia="仿宋_GB2312" w:cs="仿宋_GB2312"/>
                <w:color w:val="000000" w:themeColor="text1"/>
                <w:sz w:val="21"/>
                <w:szCs w:val="21"/>
                <w:lang w:eastAsia="zh-CN"/>
                <w14:textFill>
                  <w14:solidFill>
                    <w14:schemeClr w14:val="tx1"/>
                  </w14:solidFill>
                </w14:textFill>
              </w:rPr>
              <w:t>家、51家、</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113</w:t>
            </w:r>
            <w:r>
              <w:rPr>
                <w:rFonts w:hint="eastAsia" w:ascii="仿宋_GB2312" w:hAnsi="仿宋_GB2312" w:eastAsia="仿宋_GB2312" w:cs="仿宋_GB2312"/>
                <w:color w:val="000000" w:themeColor="text1"/>
                <w:sz w:val="21"/>
                <w:szCs w:val="21"/>
                <w:lang w:eastAsia="zh-CN"/>
                <w14:textFill>
                  <w14:solidFill>
                    <w14:schemeClr w14:val="tx1"/>
                  </w14:solidFill>
                </w14:textFill>
              </w:rPr>
              <w:t>家。</w:t>
            </w:r>
          </w:p>
        </w:tc>
        <w:tc>
          <w:tcPr>
            <w:tcW w:w="2355" w:type="dxa"/>
            <w:noWrap w:val="0"/>
            <w:vAlign w:val="center"/>
          </w:tcPr>
          <w:p w14:paraId="1150ECF9">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default"/>
                <w:color w:val="000000" w:themeColor="text1"/>
                <w:vertAlign w:val="baseline"/>
                <w:lang w:val="en-US"/>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区科技局</w:t>
            </w:r>
          </w:p>
        </w:tc>
        <w:tc>
          <w:tcPr>
            <w:tcW w:w="1410" w:type="dxa"/>
            <w:noWrap w:val="0"/>
            <w:vAlign w:val="center"/>
          </w:tcPr>
          <w:p w14:paraId="644CBE46">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3419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864" w:type="dxa"/>
            <w:vMerge w:val="restart"/>
            <w:noWrap w:val="0"/>
            <w:vAlign w:val="center"/>
          </w:tcPr>
          <w:p w14:paraId="2E0973B9">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8.加强人才“引育留用”</w:t>
            </w:r>
          </w:p>
        </w:tc>
        <w:tc>
          <w:tcPr>
            <w:tcW w:w="9102" w:type="dxa"/>
            <w:noWrap w:val="0"/>
            <w:vAlign w:val="center"/>
          </w:tcPr>
          <w:p w14:paraId="3705D5C6">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（31）</w:t>
            </w:r>
            <w:r>
              <w:rPr>
                <w:rFonts w:hint="eastAsia" w:ascii="仿宋_GB2312" w:hAnsi="仿宋_GB2312" w:eastAsia="仿宋_GB2312" w:cs="仿宋_GB2312"/>
                <w:color w:val="000000" w:themeColor="text1"/>
                <w:sz w:val="21"/>
                <w:szCs w:val="21"/>
                <w:lang w:eastAsia="zh-CN"/>
                <w14:textFill>
                  <w14:solidFill>
                    <w14:schemeClr w14:val="tx1"/>
                  </w14:solidFill>
                </w14:textFill>
              </w:rPr>
              <w:t>深入实施张掖学子返乡筑梦、紧缺人才组团引进、高端人才柔性引进、在外优秀人才回流、在张高校人才留甘“五大计划”，持续推行“周末工程师”柔性引才机制，打好“双招双引”组合拳，持续优化改善人才存量、质量、结构。</w:t>
            </w:r>
          </w:p>
        </w:tc>
        <w:tc>
          <w:tcPr>
            <w:tcW w:w="2355" w:type="dxa"/>
            <w:noWrap w:val="0"/>
            <w:vAlign w:val="center"/>
          </w:tcPr>
          <w:p w14:paraId="5E0F0802">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区委组织部</w:t>
            </w:r>
          </w:p>
          <w:p w14:paraId="6D3142A5">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color w:val="C00000"/>
                <w:lang w:val="en-US" w:eastAsia="zh-CN"/>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区人社局</w:t>
            </w:r>
          </w:p>
        </w:tc>
        <w:tc>
          <w:tcPr>
            <w:tcW w:w="1410" w:type="dxa"/>
            <w:noWrap w:val="0"/>
            <w:vAlign w:val="center"/>
          </w:tcPr>
          <w:p w14:paraId="04F68646">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5A6E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864" w:type="dxa"/>
            <w:vMerge w:val="continue"/>
            <w:noWrap w:val="0"/>
            <w:vAlign w:val="center"/>
          </w:tcPr>
          <w:p w14:paraId="7ACD2F5E">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pPr>
          </w:p>
        </w:tc>
        <w:tc>
          <w:tcPr>
            <w:tcW w:w="9102" w:type="dxa"/>
            <w:noWrap w:val="0"/>
            <w:vAlign w:val="center"/>
          </w:tcPr>
          <w:p w14:paraId="5B566D74">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32）</w:t>
            </w:r>
            <w:r>
              <w:rPr>
                <w:rFonts w:hint="eastAsia" w:ascii="仿宋_GB2312" w:hAnsi="仿宋_GB2312" w:eastAsia="仿宋_GB2312" w:cs="仿宋_GB2312"/>
                <w:color w:val="000000" w:themeColor="text1"/>
                <w:sz w:val="21"/>
                <w:szCs w:val="21"/>
                <w:lang w:eastAsia="zh-CN"/>
                <w14:textFill>
                  <w14:solidFill>
                    <w14:schemeClr w14:val="tx1"/>
                  </w14:solidFill>
                </w14:textFill>
              </w:rPr>
              <w:t>选拔（聘）新一轮区拔尖人才、市区科技特派员，实施“红烛之光”“提能强技”项目。</w:t>
            </w:r>
          </w:p>
        </w:tc>
        <w:tc>
          <w:tcPr>
            <w:tcW w:w="2355" w:type="dxa"/>
            <w:noWrap w:val="0"/>
            <w:vAlign w:val="center"/>
          </w:tcPr>
          <w:p w14:paraId="432F1AB8">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区委组织部</w:t>
            </w:r>
          </w:p>
          <w:p w14:paraId="44945891">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区人社局</w:t>
            </w:r>
          </w:p>
        </w:tc>
        <w:tc>
          <w:tcPr>
            <w:tcW w:w="1410" w:type="dxa"/>
            <w:noWrap w:val="0"/>
            <w:vAlign w:val="center"/>
          </w:tcPr>
          <w:p w14:paraId="759F952C">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419E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864" w:type="dxa"/>
            <w:vMerge w:val="continue"/>
            <w:noWrap w:val="0"/>
            <w:vAlign w:val="center"/>
          </w:tcPr>
          <w:p w14:paraId="4BB58A77">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pPr>
          </w:p>
        </w:tc>
        <w:tc>
          <w:tcPr>
            <w:tcW w:w="9102" w:type="dxa"/>
            <w:noWrap w:val="0"/>
            <w:vAlign w:val="center"/>
          </w:tcPr>
          <w:p w14:paraId="2A3394EA">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（33）</w:t>
            </w:r>
            <w:r>
              <w:rPr>
                <w:rFonts w:hint="eastAsia" w:ascii="仿宋_GB2312" w:hAnsi="仿宋_GB2312" w:eastAsia="仿宋_GB2312" w:cs="仿宋_GB2312"/>
                <w:color w:val="000000" w:themeColor="text1"/>
                <w:sz w:val="21"/>
                <w:szCs w:val="21"/>
                <w:lang w:eastAsia="zh-CN"/>
                <w14:textFill>
                  <w14:solidFill>
                    <w14:schemeClr w14:val="tx1"/>
                  </w14:solidFill>
                </w14:textFill>
              </w:rPr>
              <w:t>落实领导干部直接联系服务优秀人才制度，健全人才引进后后续跟踪培养服务机制，落细“人才服务卡”“带编入企”等政策措施，集中开展人才宣传活动。</w:t>
            </w:r>
          </w:p>
        </w:tc>
        <w:tc>
          <w:tcPr>
            <w:tcW w:w="2355" w:type="dxa"/>
            <w:noWrap w:val="0"/>
            <w:vAlign w:val="center"/>
          </w:tcPr>
          <w:p w14:paraId="29F744BA">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区委组织部</w:t>
            </w:r>
          </w:p>
          <w:p w14:paraId="03F03BF7">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区人社局</w:t>
            </w:r>
          </w:p>
        </w:tc>
        <w:tc>
          <w:tcPr>
            <w:tcW w:w="1410" w:type="dxa"/>
            <w:noWrap w:val="0"/>
            <w:vAlign w:val="center"/>
          </w:tcPr>
          <w:p w14:paraId="36CDC78E">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216C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4731" w:type="dxa"/>
            <w:gridSpan w:val="4"/>
            <w:noWrap w:val="0"/>
            <w:vAlign w:val="center"/>
          </w:tcPr>
          <w:p w14:paraId="0CD2C2CA">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color w:val="000000" w:themeColor="text1"/>
                <w:vertAlign w:val="baseline"/>
                <w14:textFill>
                  <w14:solidFill>
                    <w14:schemeClr w14:val="tx1"/>
                  </w14:solidFill>
                </w14:textFill>
              </w:rPr>
            </w:pPr>
            <w:r>
              <w:rPr>
                <w:rFonts w:hint="eastAsia" w:ascii="黑体" w:hAnsi="黑体" w:eastAsia="黑体" w:cs="黑体"/>
                <w:b w:val="0"/>
                <w:bCs w:val="0"/>
                <w:color w:val="000000" w:themeColor="text1"/>
                <w:kern w:val="2"/>
                <w:sz w:val="24"/>
                <w:szCs w:val="24"/>
                <w:vertAlign w:val="baseline"/>
                <w:lang w:val="en-US" w:eastAsia="zh-CN" w:bidi="ar-SA"/>
                <w14:textFill>
                  <w14:solidFill>
                    <w14:schemeClr w14:val="tx1"/>
                  </w14:solidFill>
                </w14:textFill>
              </w:rPr>
              <w:t>（二）着力提升法治化水平，保障企业合法权益</w:t>
            </w:r>
          </w:p>
        </w:tc>
      </w:tr>
      <w:tr w14:paraId="2558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864" w:type="dxa"/>
            <w:vMerge w:val="restart"/>
            <w:noWrap w:val="0"/>
            <w:vAlign w:val="center"/>
          </w:tcPr>
          <w:p w14:paraId="7B30775C">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21"/>
                <w:szCs w:val="21"/>
                <w14:textFill>
                  <w14:solidFill>
                    <w14:schemeClr w14:val="tx1"/>
                  </w14:solidFill>
                </w14:textFill>
              </w:rPr>
              <w:t>强化营商环境法治保障</w:t>
            </w:r>
          </w:p>
        </w:tc>
        <w:tc>
          <w:tcPr>
            <w:tcW w:w="9102" w:type="dxa"/>
            <w:noWrap w:val="0"/>
            <w:vAlign w:val="center"/>
          </w:tcPr>
          <w:p w14:paraId="05A1C37B">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（34）加大《甘肃省优化营商环境条例》的贯彻落实和普法宣传，建立配套法规政策“立改废释”长效机制，完善优化营商环境规则体系。</w:t>
            </w:r>
          </w:p>
        </w:tc>
        <w:tc>
          <w:tcPr>
            <w:tcW w:w="2355" w:type="dxa"/>
            <w:noWrap w:val="0"/>
            <w:vAlign w:val="center"/>
          </w:tcPr>
          <w:p w14:paraId="419C6B1F">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区司法局</w:t>
            </w:r>
          </w:p>
        </w:tc>
        <w:tc>
          <w:tcPr>
            <w:tcW w:w="1410" w:type="dxa"/>
            <w:noWrap w:val="0"/>
            <w:vAlign w:val="center"/>
          </w:tcPr>
          <w:p w14:paraId="32303346">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9月</w:t>
            </w:r>
          </w:p>
        </w:tc>
      </w:tr>
      <w:tr w14:paraId="7428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864" w:type="dxa"/>
            <w:vMerge w:val="continue"/>
            <w:noWrap w:val="0"/>
            <w:vAlign w:val="center"/>
          </w:tcPr>
          <w:p w14:paraId="790B8A3A">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1CF21635">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（35）围绕重点领域条款实施情况，深入企业和部门单位开展营商环境法治建设调研和监督检查，提升营商环境法治化、规范化、制度化水平。</w:t>
            </w:r>
          </w:p>
        </w:tc>
        <w:tc>
          <w:tcPr>
            <w:tcW w:w="2355" w:type="dxa"/>
            <w:noWrap w:val="0"/>
            <w:vAlign w:val="center"/>
          </w:tcPr>
          <w:p w14:paraId="3BD8D6BC">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区委政法委</w:t>
            </w:r>
          </w:p>
        </w:tc>
        <w:tc>
          <w:tcPr>
            <w:tcW w:w="1410" w:type="dxa"/>
            <w:noWrap w:val="0"/>
            <w:vAlign w:val="center"/>
          </w:tcPr>
          <w:p w14:paraId="44966BBB">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2146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864" w:type="dxa"/>
            <w:vMerge w:val="restart"/>
            <w:noWrap w:val="0"/>
            <w:vAlign w:val="center"/>
          </w:tcPr>
          <w:p w14:paraId="06DA82EA">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10.完善商业纠纷化解机制</w:t>
            </w:r>
          </w:p>
        </w:tc>
        <w:tc>
          <w:tcPr>
            <w:tcW w:w="9102" w:type="dxa"/>
            <w:noWrap w:val="0"/>
            <w:vAlign w:val="center"/>
          </w:tcPr>
          <w:p w14:paraId="727C385A">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（36）健全调解、仲裁、诉讼等有机衔接的多元化纠纷解决机制，鼓励市场主体选择商事调解机构解决商事争议纠纷。</w:t>
            </w:r>
          </w:p>
        </w:tc>
        <w:tc>
          <w:tcPr>
            <w:tcW w:w="2355" w:type="dxa"/>
            <w:noWrap w:val="0"/>
            <w:vAlign w:val="center"/>
          </w:tcPr>
          <w:p w14:paraId="404D1788">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区委政法委</w:t>
            </w:r>
          </w:p>
          <w:p w14:paraId="2E644333">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区法院</w:t>
            </w:r>
          </w:p>
          <w:p w14:paraId="65F4F55B">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区检察院</w:t>
            </w:r>
          </w:p>
          <w:p w14:paraId="0FB964D1">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区司法局</w:t>
            </w:r>
          </w:p>
        </w:tc>
        <w:tc>
          <w:tcPr>
            <w:tcW w:w="1410" w:type="dxa"/>
            <w:noWrap w:val="0"/>
            <w:vAlign w:val="center"/>
          </w:tcPr>
          <w:p w14:paraId="1479CEF3">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27A9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64" w:type="dxa"/>
            <w:vMerge w:val="continue"/>
            <w:noWrap w:val="0"/>
            <w:vAlign w:val="center"/>
          </w:tcPr>
          <w:p w14:paraId="160769F9">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3B5EE0E6">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b w:val="0"/>
                <w:bCs w:val="0"/>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（37）建立涉企案件办理风险评估机制，依法审慎作出处理。</w:t>
            </w:r>
          </w:p>
        </w:tc>
        <w:tc>
          <w:tcPr>
            <w:tcW w:w="2355" w:type="dxa"/>
            <w:noWrap w:val="0"/>
            <w:vAlign w:val="center"/>
          </w:tcPr>
          <w:p w14:paraId="3FD5A030">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区法院</w:t>
            </w:r>
          </w:p>
        </w:tc>
        <w:tc>
          <w:tcPr>
            <w:tcW w:w="1410" w:type="dxa"/>
            <w:noWrap w:val="0"/>
            <w:vAlign w:val="center"/>
          </w:tcPr>
          <w:p w14:paraId="681E4C84">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0710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864" w:type="dxa"/>
            <w:vMerge w:val="continue"/>
            <w:noWrap w:val="0"/>
            <w:vAlign w:val="center"/>
          </w:tcPr>
          <w:p w14:paraId="02218B98">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632E8227">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（38）推广公共法律服务进园区、进商圈、进企业、进商会开展专业服务。</w:t>
            </w:r>
          </w:p>
        </w:tc>
        <w:tc>
          <w:tcPr>
            <w:tcW w:w="2355" w:type="dxa"/>
            <w:noWrap w:val="0"/>
            <w:vAlign w:val="center"/>
          </w:tcPr>
          <w:p w14:paraId="1B20EC5A">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区检察院</w:t>
            </w:r>
          </w:p>
        </w:tc>
        <w:tc>
          <w:tcPr>
            <w:tcW w:w="1410" w:type="dxa"/>
            <w:noWrap w:val="0"/>
            <w:vAlign w:val="center"/>
          </w:tcPr>
          <w:p w14:paraId="158BE9D3">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28E8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864" w:type="dxa"/>
            <w:vMerge w:val="continue"/>
            <w:noWrap w:val="0"/>
            <w:vAlign w:val="center"/>
          </w:tcPr>
          <w:p w14:paraId="2B06A094">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62E2B8A3">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（39）民事一审涉企案件结案率、法定审理期限内结案率均达98%以上。</w:t>
            </w:r>
          </w:p>
        </w:tc>
        <w:tc>
          <w:tcPr>
            <w:tcW w:w="2355" w:type="dxa"/>
            <w:noWrap w:val="0"/>
            <w:vAlign w:val="center"/>
          </w:tcPr>
          <w:p w14:paraId="1DBD712A">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区法院</w:t>
            </w:r>
          </w:p>
        </w:tc>
        <w:tc>
          <w:tcPr>
            <w:tcW w:w="1410" w:type="dxa"/>
            <w:noWrap w:val="0"/>
            <w:vAlign w:val="center"/>
          </w:tcPr>
          <w:p w14:paraId="0A53B20D">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6700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864" w:type="dxa"/>
            <w:vMerge w:val="continue"/>
            <w:noWrap w:val="0"/>
            <w:vAlign w:val="center"/>
          </w:tcPr>
          <w:p w14:paraId="2AEFEACE">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7619760F">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（40）劳动争议调解组织调解成功率达到75%以上、仲裁结案率达到95%以上。</w:t>
            </w:r>
          </w:p>
        </w:tc>
        <w:tc>
          <w:tcPr>
            <w:tcW w:w="2355" w:type="dxa"/>
            <w:noWrap w:val="0"/>
            <w:vAlign w:val="center"/>
          </w:tcPr>
          <w:p w14:paraId="6FA0CBCE">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区人社局</w:t>
            </w:r>
          </w:p>
        </w:tc>
        <w:tc>
          <w:tcPr>
            <w:tcW w:w="1410" w:type="dxa"/>
            <w:noWrap w:val="0"/>
            <w:vAlign w:val="center"/>
          </w:tcPr>
          <w:p w14:paraId="10169C22">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71E2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864" w:type="dxa"/>
            <w:vMerge w:val="restart"/>
            <w:noWrap w:val="0"/>
            <w:vAlign w:val="center"/>
          </w:tcPr>
          <w:p w14:paraId="7D12C12D">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11.提升涉企诉讼服务水平</w:t>
            </w:r>
          </w:p>
        </w:tc>
        <w:tc>
          <w:tcPr>
            <w:tcW w:w="9102" w:type="dxa"/>
            <w:noWrap w:val="0"/>
            <w:vAlign w:val="center"/>
          </w:tcPr>
          <w:p w14:paraId="0E4B1C18">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（41）加快“数字法院”建设，优化在线庭审、网上缴退费、审判进度实时跟踪等功能。</w:t>
            </w:r>
          </w:p>
        </w:tc>
        <w:tc>
          <w:tcPr>
            <w:tcW w:w="2355" w:type="dxa"/>
            <w:noWrap w:val="0"/>
            <w:vAlign w:val="center"/>
          </w:tcPr>
          <w:p w14:paraId="080FB98E">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区法院</w:t>
            </w:r>
          </w:p>
        </w:tc>
        <w:tc>
          <w:tcPr>
            <w:tcW w:w="1410" w:type="dxa"/>
            <w:noWrap w:val="0"/>
            <w:vAlign w:val="center"/>
          </w:tcPr>
          <w:p w14:paraId="464ED6A8">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79FA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4" w:type="dxa"/>
            <w:vMerge w:val="continue"/>
            <w:noWrap w:val="0"/>
            <w:vAlign w:val="center"/>
          </w:tcPr>
          <w:p w14:paraId="41FA843E">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2084E738">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00" w:lineRule="exact"/>
              <w:jc w:val="both"/>
              <w:textAlignment w:val="auto"/>
              <w:rPr>
                <w:color w:val="000000" w:themeColor="text1"/>
                <w:highlight w:val="none"/>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（42）</w:t>
            </w:r>
            <w:r>
              <w:rPr>
                <w:rFonts w:hint="eastAsia" w:ascii="仿宋_GB2312" w:hAnsi="仿宋_GB2312" w:eastAsia="仿宋_GB2312" w:cs="仿宋_GB2312"/>
                <w:b w:val="0"/>
                <w:bCs w:val="0"/>
                <w:color w:val="000000" w:themeColor="text1"/>
                <w:sz w:val="21"/>
                <w:szCs w:val="21"/>
                <w:highlight w:val="none"/>
                <w:vertAlign w:val="baseline"/>
                <w:lang w:val="en-US" w:eastAsia="zh-CN"/>
                <w14:textFill>
                  <w14:solidFill>
                    <w14:schemeClr w14:val="tx1"/>
                  </w14:solidFill>
                </w14:textFill>
              </w:rPr>
              <w:t>完善涉企诉讼绿色通道，大力推广“一站式”电子诉讼服务，开展在线立案、调解、证据交换、询问、庭审、送达，涉企案件网上立案率达40%以上。</w:t>
            </w:r>
          </w:p>
        </w:tc>
        <w:tc>
          <w:tcPr>
            <w:tcW w:w="2355" w:type="dxa"/>
            <w:noWrap w:val="0"/>
            <w:vAlign w:val="center"/>
          </w:tcPr>
          <w:p w14:paraId="01162598">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区法院</w:t>
            </w:r>
          </w:p>
        </w:tc>
        <w:tc>
          <w:tcPr>
            <w:tcW w:w="1410" w:type="dxa"/>
            <w:noWrap w:val="0"/>
            <w:vAlign w:val="center"/>
          </w:tcPr>
          <w:p w14:paraId="45BB7EC2">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5460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864" w:type="dxa"/>
            <w:vMerge w:val="continue"/>
            <w:noWrap w:val="0"/>
            <w:vAlign w:val="center"/>
          </w:tcPr>
          <w:p w14:paraId="10D4687F">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19A8A1E5">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（43）</w:t>
            </w:r>
            <w:r>
              <w:rPr>
                <w:rFonts w:hint="eastAsia" w:ascii="仿宋_GB2312" w:hAnsi="仿宋_GB2312" w:eastAsia="仿宋_GB2312" w:cs="仿宋_GB2312"/>
                <w:b w:val="0"/>
                <w:bCs w:val="0"/>
                <w:color w:val="000000" w:themeColor="text1"/>
                <w:sz w:val="21"/>
                <w:szCs w:val="21"/>
                <w:highlight w:val="none"/>
                <w:vertAlign w:val="baseline"/>
                <w:lang w:val="en-US" w:eastAsia="zh-CN"/>
                <w14:textFill>
                  <w14:solidFill>
                    <w14:schemeClr w14:val="tx1"/>
                  </w14:solidFill>
                </w14:textFill>
              </w:rPr>
              <w:t>加强对当事人的程序引导，小额诉讼程序和简易程序适用率分别达25%、55%以上。</w:t>
            </w:r>
          </w:p>
        </w:tc>
        <w:tc>
          <w:tcPr>
            <w:tcW w:w="2355" w:type="dxa"/>
            <w:noWrap w:val="0"/>
            <w:vAlign w:val="center"/>
          </w:tcPr>
          <w:p w14:paraId="30112C80">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区法院</w:t>
            </w:r>
          </w:p>
        </w:tc>
        <w:tc>
          <w:tcPr>
            <w:tcW w:w="1410" w:type="dxa"/>
            <w:noWrap w:val="0"/>
            <w:vAlign w:val="center"/>
          </w:tcPr>
          <w:p w14:paraId="3032578A">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default"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63A0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64" w:type="dxa"/>
            <w:vMerge w:val="restart"/>
            <w:noWrap w:val="0"/>
            <w:vAlign w:val="center"/>
          </w:tcPr>
          <w:p w14:paraId="34AAB297">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21"/>
                <w:szCs w:val="21"/>
                <w14:textFill>
                  <w14:solidFill>
                    <w14:schemeClr w14:val="tx1"/>
                  </w14:solidFill>
                </w14:textFill>
              </w:rPr>
              <w:t>提高审判执行质效</w:t>
            </w:r>
          </w:p>
        </w:tc>
        <w:tc>
          <w:tcPr>
            <w:tcW w:w="9102" w:type="dxa"/>
            <w:noWrap w:val="0"/>
            <w:vAlign w:val="center"/>
          </w:tcPr>
          <w:p w14:paraId="1DFEC0DE">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（44）推动“立审执”一体化，促进生效裁判自动履行，优化“司法建议”制度，提升裁判文书的确定性和可执行性。</w:t>
            </w:r>
          </w:p>
        </w:tc>
        <w:tc>
          <w:tcPr>
            <w:tcW w:w="2355" w:type="dxa"/>
            <w:noWrap w:val="0"/>
            <w:vAlign w:val="center"/>
          </w:tcPr>
          <w:p w14:paraId="08C2C98B">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区法院</w:t>
            </w:r>
          </w:p>
          <w:p w14:paraId="7AD4D9D0">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市公安局甘州分局</w:t>
            </w:r>
          </w:p>
        </w:tc>
        <w:tc>
          <w:tcPr>
            <w:tcW w:w="1410" w:type="dxa"/>
            <w:noWrap w:val="0"/>
            <w:vAlign w:val="center"/>
          </w:tcPr>
          <w:p w14:paraId="214D9739">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3DDE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4" w:type="dxa"/>
            <w:vMerge w:val="continue"/>
            <w:noWrap w:val="0"/>
            <w:vAlign w:val="center"/>
          </w:tcPr>
          <w:p w14:paraId="4D1A1296">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4269E6B0">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（45）深化执行联动机制，探索推进不动产、机动车、矿业权、公积金司法查控协同网办，提升执行查控效率。</w:t>
            </w:r>
          </w:p>
        </w:tc>
        <w:tc>
          <w:tcPr>
            <w:tcW w:w="2355" w:type="dxa"/>
            <w:noWrap w:val="0"/>
            <w:vAlign w:val="center"/>
          </w:tcPr>
          <w:p w14:paraId="118A561C">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区法院</w:t>
            </w:r>
          </w:p>
          <w:p w14:paraId="66AA6FB3">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市公安局甘州分局</w:t>
            </w:r>
          </w:p>
        </w:tc>
        <w:tc>
          <w:tcPr>
            <w:tcW w:w="1410" w:type="dxa"/>
            <w:noWrap w:val="0"/>
            <w:vAlign w:val="center"/>
          </w:tcPr>
          <w:p w14:paraId="5434CEF9">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3C89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864" w:type="dxa"/>
            <w:vMerge w:val="continue"/>
            <w:noWrap w:val="0"/>
            <w:vAlign w:val="center"/>
          </w:tcPr>
          <w:p w14:paraId="571493A4">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776665ED">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（46）打造“专业审判+全域协同+跨域联动”司法护企体系，为护航园区企业高质量发展提供优质司法服务和保障。</w:t>
            </w:r>
          </w:p>
        </w:tc>
        <w:tc>
          <w:tcPr>
            <w:tcW w:w="2355" w:type="dxa"/>
            <w:noWrap w:val="0"/>
            <w:vAlign w:val="center"/>
          </w:tcPr>
          <w:p w14:paraId="5FB34F45">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default"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区法院</w:t>
            </w:r>
          </w:p>
        </w:tc>
        <w:tc>
          <w:tcPr>
            <w:tcW w:w="1410" w:type="dxa"/>
            <w:noWrap w:val="0"/>
            <w:vAlign w:val="center"/>
          </w:tcPr>
          <w:p w14:paraId="3F1AC1A3">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default"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3E60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864" w:type="dxa"/>
            <w:vMerge w:val="continue"/>
            <w:noWrap w:val="0"/>
            <w:vAlign w:val="center"/>
          </w:tcPr>
          <w:p w14:paraId="534844BC">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7773BECA">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（47）民商事案件执行到位率达65％以上，平均结案时间不超过75天，首执案件终本率不高于18%。</w:t>
            </w:r>
          </w:p>
        </w:tc>
        <w:tc>
          <w:tcPr>
            <w:tcW w:w="2355" w:type="dxa"/>
            <w:noWrap w:val="0"/>
            <w:vAlign w:val="center"/>
          </w:tcPr>
          <w:p w14:paraId="36A7950A">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区法院</w:t>
            </w:r>
          </w:p>
        </w:tc>
        <w:tc>
          <w:tcPr>
            <w:tcW w:w="1410" w:type="dxa"/>
            <w:noWrap w:val="0"/>
            <w:vAlign w:val="center"/>
          </w:tcPr>
          <w:p w14:paraId="6069F9BC">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31B4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64" w:type="dxa"/>
            <w:vMerge w:val="restart"/>
            <w:noWrap w:val="0"/>
            <w:vAlign w:val="center"/>
          </w:tcPr>
          <w:p w14:paraId="1C043DAE">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eastAsia="仿宋_GB2312"/>
                <w:color w:val="000000" w:themeColor="text1"/>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13.</w:t>
            </w:r>
            <w:r>
              <w:rPr>
                <w:rFonts w:hint="eastAsia" w:ascii="仿宋_GB2312" w:hAnsi="仿宋_GB2312" w:eastAsia="仿宋_GB2312" w:cs="仿宋_GB2312"/>
                <w:b w:val="0"/>
                <w:bCs w:val="0"/>
                <w:color w:val="000000" w:themeColor="text1"/>
                <w:sz w:val="21"/>
                <w:szCs w:val="21"/>
                <w14:textFill>
                  <w14:solidFill>
                    <w14:schemeClr w14:val="tx1"/>
                  </w14:solidFill>
                </w14:textFill>
              </w:rPr>
              <w:t>提升破产办理</w:t>
            </w: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效率</w:t>
            </w:r>
          </w:p>
        </w:tc>
        <w:tc>
          <w:tcPr>
            <w:tcW w:w="9102" w:type="dxa"/>
            <w:noWrap w:val="0"/>
            <w:vAlign w:val="center"/>
          </w:tcPr>
          <w:p w14:paraId="60FEFD6B">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（48）健全完善破产案件繁简分流、简案快审、执行案件移送破产审查等机制。</w:t>
            </w:r>
          </w:p>
        </w:tc>
        <w:tc>
          <w:tcPr>
            <w:tcW w:w="2355" w:type="dxa"/>
            <w:noWrap w:val="0"/>
            <w:vAlign w:val="center"/>
          </w:tcPr>
          <w:p w14:paraId="54E5F03A">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区法院</w:t>
            </w:r>
          </w:p>
        </w:tc>
        <w:tc>
          <w:tcPr>
            <w:tcW w:w="1410" w:type="dxa"/>
            <w:noWrap w:val="0"/>
            <w:vAlign w:val="center"/>
          </w:tcPr>
          <w:p w14:paraId="252045D3">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7F68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864" w:type="dxa"/>
            <w:vMerge w:val="continue"/>
            <w:noWrap w:val="0"/>
            <w:vAlign w:val="center"/>
          </w:tcPr>
          <w:p w14:paraId="0A712318">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5E48343C">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（49）探索危困企业预重整拯救机制，优化破产重整企业信用修复，建立破产管理人分级管理和考核管理机制，允许破产听证会通过线上方式召开。</w:t>
            </w:r>
          </w:p>
        </w:tc>
        <w:tc>
          <w:tcPr>
            <w:tcW w:w="2355" w:type="dxa"/>
            <w:noWrap w:val="0"/>
            <w:vAlign w:val="center"/>
          </w:tcPr>
          <w:p w14:paraId="75A2E3BE">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区法院</w:t>
            </w:r>
          </w:p>
        </w:tc>
        <w:tc>
          <w:tcPr>
            <w:tcW w:w="1410" w:type="dxa"/>
            <w:noWrap w:val="0"/>
            <w:vAlign w:val="center"/>
          </w:tcPr>
          <w:p w14:paraId="4C0A9DFD">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31E2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864" w:type="dxa"/>
            <w:vMerge w:val="continue"/>
            <w:noWrap w:val="0"/>
            <w:vAlign w:val="center"/>
          </w:tcPr>
          <w:p w14:paraId="7BD5275A">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269778FE">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（50）深化破产案件府院联动，落实破产企业涉税优惠政策，解决不动产登记、过户办理、职工安置等难点堵点问题，推动破产财产多元化处置。</w:t>
            </w:r>
          </w:p>
        </w:tc>
        <w:tc>
          <w:tcPr>
            <w:tcW w:w="2355" w:type="dxa"/>
            <w:noWrap w:val="0"/>
            <w:vAlign w:val="center"/>
          </w:tcPr>
          <w:p w14:paraId="17CF2E31">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区法院</w:t>
            </w:r>
          </w:p>
          <w:p w14:paraId="19EFEDDF">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区司法局</w:t>
            </w:r>
          </w:p>
          <w:p w14:paraId="762B5B42">
            <w:pPr>
              <w:pStyle w:val="7"/>
              <w:jc w:val="center"/>
              <w:rPr>
                <w:rFonts w:hint="eastAsia"/>
                <w:lang w:val="en-US" w:eastAsia="zh-CN"/>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区税务局</w:t>
            </w:r>
          </w:p>
          <w:p w14:paraId="2F6E4A4E">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市自然资源局甘州分局</w:t>
            </w:r>
          </w:p>
        </w:tc>
        <w:tc>
          <w:tcPr>
            <w:tcW w:w="1410" w:type="dxa"/>
            <w:noWrap w:val="0"/>
            <w:vAlign w:val="center"/>
          </w:tcPr>
          <w:p w14:paraId="7BBEA917">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6697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864" w:type="dxa"/>
            <w:vMerge w:val="continue"/>
            <w:noWrap w:val="0"/>
            <w:vAlign w:val="center"/>
          </w:tcPr>
          <w:p w14:paraId="6755E375">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10F0ADE1">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（51）提高破产援助资金审批拨付质效。</w:t>
            </w:r>
          </w:p>
        </w:tc>
        <w:tc>
          <w:tcPr>
            <w:tcW w:w="2355" w:type="dxa"/>
            <w:noWrap w:val="0"/>
            <w:vAlign w:val="center"/>
          </w:tcPr>
          <w:p w14:paraId="189C066D">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区财政局</w:t>
            </w:r>
          </w:p>
        </w:tc>
        <w:tc>
          <w:tcPr>
            <w:tcW w:w="1410" w:type="dxa"/>
            <w:noWrap w:val="0"/>
            <w:vAlign w:val="center"/>
          </w:tcPr>
          <w:p w14:paraId="3F5796CE">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3BAF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64" w:type="dxa"/>
            <w:vMerge w:val="continue"/>
            <w:noWrap w:val="0"/>
            <w:vAlign w:val="center"/>
          </w:tcPr>
          <w:p w14:paraId="5DFADA10">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5F89F651">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（52）破产案件结案率达85％以上。</w:t>
            </w:r>
          </w:p>
        </w:tc>
        <w:tc>
          <w:tcPr>
            <w:tcW w:w="2355" w:type="dxa"/>
            <w:noWrap w:val="0"/>
            <w:vAlign w:val="center"/>
          </w:tcPr>
          <w:p w14:paraId="4EB1135C">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区法院</w:t>
            </w:r>
          </w:p>
        </w:tc>
        <w:tc>
          <w:tcPr>
            <w:tcW w:w="1410" w:type="dxa"/>
            <w:noWrap w:val="0"/>
            <w:vAlign w:val="center"/>
          </w:tcPr>
          <w:p w14:paraId="2238FB2F">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1CF0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31" w:type="dxa"/>
            <w:gridSpan w:val="4"/>
            <w:noWrap w:val="0"/>
            <w:vAlign w:val="center"/>
          </w:tcPr>
          <w:p w14:paraId="30BCE0FF">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highlight w:val="none"/>
                <w:vertAlign w:val="baseline"/>
                <w14:textFill>
                  <w14:solidFill>
                    <w14:schemeClr w14:val="tx1"/>
                  </w14:solidFill>
                </w14:textFill>
              </w:rPr>
            </w:pPr>
            <w:r>
              <w:rPr>
                <w:rFonts w:hint="eastAsia" w:ascii="黑体" w:hAnsi="黑体" w:eastAsia="黑体" w:cs="黑体"/>
                <w:b w:val="0"/>
                <w:bCs w:val="0"/>
                <w:color w:val="000000" w:themeColor="text1"/>
                <w:kern w:val="2"/>
                <w:sz w:val="24"/>
                <w:szCs w:val="24"/>
                <w:highlight w:val="none"/>
                <w:vertAlign w:val="baseline"/>
                <w:lang w:val="en-US" w:eastAsia="zh-CN" w:bidi="ar-SA"/>
                <w14:textFill>
                  <w14:solidFill>
                    <w14:schemeClr w14:val="tx1"/>
                  </w14:solidFill>
                </w14:textFill>
              </w:rPr>
              <w:t>（三）着力提升国际化水平，扩大对外开放能级</w:t>
            </w:r>
          </w:p>
        </w:tc>
      </w:tr>
      <w:tr w14:paraId="77AF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864" w:type="dxa"/>
            <w:vMerge w:val="restart"/>
            <w:noWrap w:val="0"/>
            <w:vAlign w:val="center"/>
          </w:tcPr>
          <w:p w14:paraId="0D8EED24">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14.</w:t>
            </w:r>
            <w:r>
              <w:rPr>
                <w:rFonts w:hint="eastAsia" w:ascii="仿宋_GB2312" w:hAnsi="仿宋_GB2312" w:eastAsia="仿宋_GB2312" w:cs="仿宋_GB2312"/>
                <w:b w:val="0"/>
                <w:bCs w:val="0"/>
                <w:color w:val="000000" w:themeColor="text1"/>
                <w:sz w:val="21"/>
                <w:szCs w:val="21"/>
                <w14:textFill>
                  <w14:solidFill>
                    <w14:schemeClr w14:val="tx1"/>
                  </w14:solidFill>
                </w14:textFill>
              </w:rPr>
              <w:t>打造高</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水平</w:t>
            </w:r>
            <w:r>
              <w:rPr>
                <w:rFonts w:hint="eastAsia" w:ascii="仿宋_GB2312" w:hAnsi="仿宋_GB2312" w:eastAsia="仿宋_GB2312" w:cs="仿宋_GB2312"/>
                <w:b w:val="0"/>
                <w:bCs w:val="0"/>
                <w:color w:val="000000" w:themeColor="text1"/>
                <w:sz w:val="21"/>
                <w:szCs w:val="21"/>
                <w14:textFill>
                  <w14:solidFill>
                    <w14:schemeClr w14:val="tx1"/>
                  </w14:solidFill>
                </w14:textFill>
              </w:rPr>
              <w:t>对外开放平台</w:t>
            </w:r>
          </w:p>
        </w:tc>
        <w:tc>
          <w:tcPr>
            <w:tcW w:w="9102" w:type="dxa"/>
            <w:noWrap w:val="0"/>
            <w:vAlign w:val="center"/>
          </w:tcPr>
          <w:p w14:paraId="1068A1D7">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53）深度融入高质量共建“一带一路”，积极参与西部陆海新通道建设，积极拓展甘州区与重点国家和地区的经贸合作平台，全力加快张掖中铁智慧物流园项目建设，全年发运国际货运班列20列以上，实现国际货运班列常态化运行。</w:t>
            </w:r>
          </w:p>
        </w:tc>
        <w:tc>
          <w:tcPr>
            <w:tcW w:w="2355" w:type="dxa"/>
            <w:noWrap w:val="0"/>
            <w:vAlign w:val="center"/>
          </w:tcPr>
          <w:p w14:paraId="6637706B">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区商务局</w:t>
            </w:r>
          </w:p>
          <w:p w14:paraId="15C74767">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eastAsiaTheme="minorEastAsia"/>
                <w:color w:val="000000" w:themeColor="text1"/>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区发改局</w:t>
            </w:r>
          </w:p>
        </w:tc>
        <w:tc>
          <w:tcPr>
            <w:tcW w:w="1410" w:type="dxa"/>
            <w:noWrap w:val="0"/>
            <w:vAlign w:val="center"/>
          </w:tcPr>
          <w:p w14:paraId="187E3BBC">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6C56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864" w:type="dxa"/>
            <w:vMerge w:val="continue"/>
            <w:noWrap w:val="0"/>
            <w:vAlign w:val="center"/>
          </w:tcPr>
          <w:p w14:paraId="7A707E3A">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5FCF411A">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（54）进一步加大外贸进出口企业参会参展力度，组织企业参加广交会、进博会、兰洽会等境内外各类节会展会平台，持续提升外贸进出口企业和商品对外知名度、吸引力。</w:t>
            </w:r>
            <w:r>
              <w:rPr>
                <w:rFonts w:hint="eastAsia" w:ascii="仿宋_GB2312" w:hAnsi="仿宋_GB2312" w:eastAsia="仿宋_GB2312" w:cs="仿宋_GB2312"/>
                <w:b w:val="0"/>
                <w:bCs w:val="0"/>
                <w:color w:val="000000" w:themeColor="text1"/>
                <w:kern w:val="0"/>
                <w:sz w:val="21"/>
                <w:szCs w:val="21"/>
                <w:vertAlign w:val="baseline"/>
                <w:lang w:val="en-US" w:eastAsia="zh-CN"/>
                <w14:textFill>
                  <w14:solidFill>
                    <w14:schemeClr w14:val="tx1"/>
                  </w14:solidFill>
                </w14:textFill>
              </w:rPr>
              <w:t xml:space="preserve">开展霍尔果斯、凭祥等口岸外贸产销对接会，组织区内发年农产品、茂雄领鲜等农产品进出口企业和纯净种苗、弘一种业等蔬菜花卉种子进出口企业开展产品推介和市场对接，为企业寻订单、扩市场，有效扩大国际经贸交流合作。 </w:t>
            </w:r>
          </w:p>
        </w:tc>
        <w:tc>
          <w:tcPr>
            <w:tcW w:w="2355" w:type="dxa"/>
            <w:noWrap w:val="0"/>
            <w:vAlign w:val="center"/>
          </w:tcPr>
          <w:p w14:paraId="666CEABD">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区商务局</w:t>
            </w:r>
          </w:p>
          <w:p w14:paraId="234CCE25">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区农业农村局</w:t>
            </w:r>
          </w:p>
          <w:p w14:paraId="7576D5B9">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区招商服务中心</w:t>
            </w:r>
          </w:p>
        </w:tc>
        <w:tc>
          <w:tcPr>
            <w:tcW w:w="1410" w:type="dxa"/>
            <w:noWrap w:val="0"/>
            <w:vAlign w:val="center"/>
          </w:tcPr>
          <w:p w14:paraId="3D41B22D">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1E5B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64" w:type="dxa"/>
            <w:vMerge w:val="restart"/>
            <w:noWrap w:val="0"/>
            <w:vAlign w:val="center"/>
          </w:tcPr>
          <w:p w14:paraId="0796519D">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15.</w:t>
            </w:r>
            <w:r>
              <w:rPr>
                <w:rFonts w:hint="eastAsia" w:ascii="仿宋_GB2312" w:hAnsi="仿宋_GB2312" w:eastAsia="仿宋_GB2312" w:cs="仿宋_GB2312"/>
                <w:b w:val="0"/>
                <w:bCs w:val="0"/>
                <w:color w:val="000000" w:themeColor="text1"/>
                <w:sz w:val="21"/>
                <w:szCs w:val="21"/>
                <w14:textFill>
                  <w14:solidFill>
                    <w14:schemeClr w14:val="tx1"/>
                  </w14:solidFill>
                </w14:textFill>
              </w:rPr>
              <w:t>提升对外贸易便利化水平</w:t>
            </w:r>
          </w:p>
        </w:tc>
        <w:tc>
          <w:tcPr>
            <w:tcW w:w="9102" w:type="dxa"/>
            <w:noWrap w:val="0"/>
            <w:vAlign w:val="center"/>
          </w:tcPr>
          <w:p w14:paraId="584623F8">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（55）充分发挥市级外经贸平台作用，靠前为区内外贸企业提供注册、备案、报关、检验等手续帮办代办服务，进一步缩短办事流程，提高办结效率。</w:t>
            </w:r>
          </w:p>
        </w:tc>
        <w:tc>
          <w:tcPr>
            <w:tcW w:w="2355" w:type="dxa"/>
            <w:noWrap w:val="0"/>
            <w:vAlign w:val="center"/>
          </w:tcPr>
          <w:p w14:paraId="7D5126C9">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区商务局</w:t>
            </w:r>
          </w:p>
        </w:tc>
        <w:tc>
          <w:tcPr>
            <w:tcW w:w="1410" w:type="dxa"/>
            <w:noWrap w:val="0"/>
            <w:vAlign w:val="center"/>
          </w:tcPr>
          <w:p w14:paraId="1041949C">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0D0D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64" w:type="dxa"/>
            <w:vMerge w:val="continue"/>
            <w:noWrap w:val="0"/>
            <w:vAlign w:val="center"/>
          </w:tcPr>
          <w:p w14:paraId="3D31344F">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2BDF2171">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（56）深化国际贸易“单一窗口”推广应用，加强业务培训，组织区内外贸企业参加国家省市各类国际贸易“单一窗口”培训，帮助企业熟练掌握“单一窗口” 报关报检相关流程，持续提升通关效率。</w:t>
            </w:r>
          </w:p>
        </w:tc>
        <w:tc>
          <w:tcPr>
            <w:tcW w:w="2355" w:type="dxa"/>
            <w:noWrap w:val="0"/>
            <w:vAlign w:val="center"/>
          </w:tcPr>
          <w:p w14:paraId="5E6131B0">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区商务局</w:t>
            </w:r>
          </w:p>
        </w:tc>
        <w:tc>
          <w:tcPr>
            <w:tcW w:w="1410" w:type="dxa"/>
            <w:noWrap w:val="0"/>
            <w:vAlign w:val="center"/>
          </w:tcPr>
          <w:p w14:paraId="2E34B94A">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01A3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864" w:type="dxa"/>
            <w:vMerge w:val="continue"/>
            <w:noWrap w:val="0"/>
            <w:vAlign w:val="center"/>
          </w:tcPr>
          <w:p w14:paraId="1DC0C283">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1FD8FB40">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（57）高效盘活霍尔果斯、凭详等口岸仓储设施存量，加快建</w:t>
            </w:r>
            <w:r>
              <w:rPr>
                <w:rFonts w:hint="eastAsia" w:ascii="仿宋_GB2312" w:hAnsi="仿宋_GB2312" w:eastAsia="仿宋_GB2312" w:cs="仿宋_GB2312"/>
                <w:b w:val="0"/>
                <w:bCs w:val="0"/>
                <w:strike w:val="0"/>
                <w:dstrike w:val="0"/>
                <w:color w:val="000000" w:themeColor="text1"/>
                <w:sz w:val="21"/>
                <w:szCs w:val="21"/>
                <w:vertAlign w:val="baseline"/>
                <w:lang w:val="en-US" w:eastAsia="zh-CN"/>
                <w14:textFill>
                  <w14:solidFill>
                    <w14:schemeClr w14:val="tx1"/>
                  </w14:solidFill>
                </w14:textFill>
              </w:rPr>
              <w:t>设</w:t>
            </w: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甘州区外贸进出口货物集中仓储区，提升外贸进出口输转能力和进出口仓储便捷化水平。</w:t>
            </w:r>
          </w:p>
        </w:tc>
        <w:tc>
          <w:tcPr>
            <w:tcW w:w="2355" w:type="dxa"/>
            <w:noWrap w:val="0"/>
            <w:vAlign w:val="center"/>
          </w:tcPr>
          <w:p w14:paraId="23F92D33">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区商务局</w:t>
            </w:r>
          </w:p>
        </w:tc>
        <w:tc>
          <w:tcPr>
            <w:tcW w:w="1410" w:type="dxa"/>
            <w:noWrap w:val="0"/>
            <w:vAlign w:val="center"/>
          </w:tcPr>
          <w:p w14:paraId="45D4C2CF">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41455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864" w:type="dxa"/>
            <w:vMerge w:val="restart"/>
            <w:noWrap w:val="0"/>
            <w:vAlign w:val="center"/>
          </w:tcPr>
          <w:p w14:paraId="3D13E92E">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16.优化外商投资服务</w:t>
            </w:r>
          </w:p>
        </w:tc>
        <w:tc>
          <w:tcPr>
            <w:tcW w:w="9102" w:type="dxa"/>
            <w:noWrap w:val="0"/>
            <w:vAlign w:val="center"/>
          </w:tcPr>
          <w:p w14:paraId="3C385145">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（58）严格落实外商投资准入前国民待遇加负面清单管理制度</w:t>
            </w: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w:t>
            </w:r>
          </w:p>
        </w:tc>
        <w:tc>
          <w:tcPr>
            <w:tcW w:w="2355" w:type="dxa"/>
            <w:noWrap w:val="0"/>
            <w:vAlign w:val="center"/>
          </w:tcPr>
          <w:p w14:paraId="6AA4A3BC">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区商务局</w:t>
            </w:r>
          </w:p>
          <w:p w14:paraId="5C291DDD">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区发改局</w:t>
            </w:r>
          </w:p>
          <w:p w14:paraId="288CDBCB">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张掖经开区</w:t>
            </w:r>
          </w:p>
          <w:p w14:paraId="5E575CA0">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区招商服务中心</w:t>
            </w:r>
          </w:p>
        </w:tc>
        <w:tc>
          <w:tcPr>
            <w:tcW w:w="1410" w:type="dxa"/>
            <w:noWrap w:val="0"/>
            <w:vAlign w:val="center"/>
          </w:tcPr>
          <w:p w14:paraId="0A77A8F1">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2432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64" w:type="dxa"/>
            <w:vMerge w:val="continue"/>
            <w:noWrap w:val="0"/>
            <w:vAlign w:val="center"/>
          </w:tcPr>
          <w:p w14:paraId="3BA53799">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7118831A">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（59）对外资企业高频事项实行“一站式”服务，公布商业投资指南和投资机会清单，健全外商投资企业投诉工作机制，保障外资合法权益。</w:t>
            </w:r>
          </w:p>
        </w:tc>
        <w:tc>
          <w:tcPr>
            <w:tcW w:w="2355" w:type="dxa"/>
            <w:noWrap w:val="0"/>
            <w:vAlign w:val="center"/>
          </w:tcPr>
          <w:p w14:paraId="5AD2640B">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区商务局</w:t>
            </w:r>
          </w:p>
          <w:p w14:paraId="1453746F">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区发改局</w:t>
            </w:r>
          </w:p>
          <w:p w14:paraId="4B53DB38">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张掖经开区</w:t>
            </w:r>
          </w:p>
          <w:p w14:paraId="063FC3AD">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区招商服务中心</w:t>
            </w:r>
          </w:p>
        </w:tc>
        <w:tc>
          <w:tcPr>
            <w:tcW w:w="1410" w:type="dxa"/>
            <w:noWrap w:val="0"/>
            <w:vAlign w:val="center"/>
          </w:tcPr>
          <w:p w14:paraId="5E69BDE2">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3C47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864" w:type="dxa"/>
            <w:vMerge w:val="continue"/>
            <w:noWrap w:val="0"/>
            <w:vAlign w:val="center"/>
          </w:tcPr>
          <w:p w14:paraId="2A00D4E4">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5D971E64">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 xml:space="preserve">（60）建立外商外资企业常态化走访调研机制，每季度对外商外资企业进行走访调研，详细掌握企业生产经营实际，梳理汇总企业发展难题，助力外资外贸企业持续发展壮大。  </w:t>
            </w:r>
          </w:p>
        </w:tc>
        <w:tc>
          <w:tcPr>
            <w:tcW w:w="2355" w:type="dxa"/>
            <w:noWrap w:val="0"/>
            <w:vAlign w:val="center"/>
          </w:tcPr>
          <w:p w14:paraId="60C18F5E">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区商务局</w:t>
            </w:r>
          </w:p>
          <w:p w14:paraId="32498A84">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张掖经开区</w:t>
            </w:r>
          </w:p>
        </w:tc>
        <w:tc>
          <w:tcPr>
            <w:tcW w:w="1410" w:type="dxa"/>
            <w:noWrap w:val="0"/>
            <w:vAlign w:val="center"/>
          </w:tcPr>
          <w:p w14:paraId="4D59AD8E">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3366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64" w:type="dxa"/>
            <w:vMerge w:val="continue"/>
            <w:noWrap w:val="0"/>
            <w:vAlign w:val="center"/>
          </w:tcPr>
          <w:p w14:paraId="03F9C1FE">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5273B473">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（61）做实“税路通·丝路行”服务品牌，广泛开展鼓励外商投资企业境内再投资税惠宣辅活动。</w:t>
            </w:r>
          </w:p>
        </w:tc>
        <w:tc>
          <w:tcPr>
            <w:tcW w:w="2355" w:type="dxa"/>
            <w:noWrap w:val="0"/>
            <w:vAlign w:val="center"/>
          </w:tcPr>
          <w:p w14:paraId="626FA6F7">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区税务局</w:t>
            </w:r>
          </w:p>
        </w:tc>
        <w:tc>
          <w:tcPr>
            <w:tcW w:w="1410" w:type="dxa"/>
            <w:noWrap w:val="0"/>
            <w:vAlign w:val="center"/>
          </w:tcPr>
          <w:p w14:paraId="3E239FB2">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4D44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64" w:type="dxa"/>
            <w:vMerge w:val="restart"/>
            <w:noWrap w:val="0"/>
            <w:vAlign w:val="center"/>
          </w:tcPr>
          <w:p w14:paraId="28C6D892">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17.健全对外投资服务体系</w:t>
            </w:r>
          </w:p>
        </w:tc>
        <w:tc>
          <w:tcPr>
            <w:tcW w:w="9102" w:type="dxa"/>
            <w:noWrap w:val="0"/>
            <w:vAlign w:val="center"/>
          </w:tcPr>
          <w:p w14:paraId="6C681141">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（62）为对外投资企业提供信息共享、项目对接等一站式服务。</w:t>
            </w:r>
          </w:p>
        </w:tc>
        <w:tc>
          <w:tcPr>
            <w:tcW w:w="2355" w:type="dxa"/>
            <w:noWrap w:val="0"/>
            <w:vAlign w:val="center"/>
          </w:tcPr>
          <w:p w14:paraId="40D51F87">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区商务局</w:t>
            </w:r>
          </w:p>
          <w:p w14:paraId="5839C2B5">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区发改局</w:t>
            </w:r>
          </w:p>
          <w:p w14:paraId="3FBAC8AC">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区招商服务中心</w:t>
            </w:r>
          </w:p>
        </w:tc>
        <w:tc>
          <w:tcPr>
            <w:tcW w:w="1410" w:type="dxa"/>
            <w:noWrap w:val="0"/>
            <w:vAlign w:val="center"/>
          </w:tcPr>
          <w:p w14:paraId="6D6BFCE0">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7729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864" w:type="dxa"/>
            <w:vMerge w:val="continue"/>
            <w:noWrap w:val="0"/>
            <w:vAlign w:val="center"/>
          </w:tcPr>
          <w:p w14:paraId="224B3FCC">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046E96CA">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（63）推广跨境金融服务平台，推动企业跨境结算及投融资更加高效便利，维护外汇市场稳定。</w:t>
            </w:r>
          </w:p>
        </w:tc>
        <w:tc>
          <w:tcPr>
            <w:tcW w:w="2355" w:type="dxa"/>
            <w:noWrap w:val="0"/>
            <w:vAlign w:val="center"/>
          </w:tcPr>
          <w:p w14:paraId="7DAA1FEB">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区财政局</w:t>
            </w:r>
          </w:p>
        </w:tc>
        <w:tc>
          <w:tcPr>
            <w:tcW w:w="1410" w:type="dxa"/>
            <w:noWrap w:val="0"/>
            <w:vAlign w:val="center"/>
          </w:tcPr>
          <w:p w14:paraId="55945055">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61F0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864" w:type="dxa"/>
            <w:vMerge w:val="continue"/>
            <w:noWrap w:val="0"/>
            <w:vAlign w:val="center"/>
          </w:tcPr>
          <w:p w14:paraId="017A2B6D">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47AFCBFF">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（64）积极培育外贸主体，为有潜力地走出去的企业提供业务指导及咨询服务。</w:t>
            </w:r>
            <w:r>
              <w:rPr>
                <w:rFonts w:hint="eastAsia" w:ascii="仿宋_GB2312" w:hAnsi="仿宋_GB2312" w:eastAsia="仿宋_GB2312" w:cs="仿宋_GB2312"/>
                <w:b w:val="0"/>
                <w:bCs w:val="0"/>
                <w:color w:val="000000" w:themeColor="text1"/>
                <w:kern w:val="0"/>
                <w:sz w:val="21"/>
                <w:szCs w:val="21"/>
                <w:vertAlign w:val="baseline"/>
                <w:lang w:val="en-US" w:eastAsia="zh-CN"/>
                <w14:textFill>
                  <w14:solidFill>
                    <w14:schemeClr w14:val="tx1"/>
                  </w14:solidFill>
                </w14:textFill>
              </w:rPr>
              <w:t xml:space="preserve"> </w:t>
            </w:r>
          </w:p>
        </w:tc>
        <w:tc>
          <w:tcPr>
            <w:tcW w:w="2355" w:type="dxa"/>
            <w:noWrap w:val="0"/>
            <w:vAlign w:val="center"/>
          </w:tcPr>
          <w:p w14:paraId="0175B301">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区商务局</w:t>
            </w:r>
          </w:p>
          <w:p w14:paraId="66CF0416">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区农业农村局</w:t>
            </w:r>
          </w:p>
        </w:tc>
        <w:tc>
          <w:tcPr>
            <w:tcW w:w="1410" w:type="dxa"/>
            <w:noWrap w:val="0"/>
            <w:vAlign w:val="center"/>
          </w:tcPr>
          <w:p w14:paraId="169091FA">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6C40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64" w:type="dxa"/>
            <w:vMerge w:val="continue"/>
            <w:noWrap w:val="0"/>
            <w:vAlign w:val="center"/>
          </w:tcPr>
          <w:p w14:paraId="158DCC6A">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6C25D31A">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（65）</w:t>
            </w:r>
            <w:r>
              <w:rPr>
                <w:rFonts w:hint="eastAsia" w:ascii="仿宋_GB2312" w:hAnsi="仿宋_GB2312" w:eastAsia="仿宋_GB2312" w:cs="仿宋_GB2312"/>
                <w:b w:val="0"/>
                <w:bCs w:val="0"/>
                <w:color w:val="000000" w:themeColor="text1"/>
                <w:kern w:val="0"/>
                <w:sz w:val="21"/>
                <w:szCs w:val="21"/>
                <w:vertAlign w:val="baseline"/>
                <w:lang w:val="en-US" w:eastAsia="zh-CN"/>
                <w14:textFill>
                  <w14:solidFill>
                    <w14:schemeClr w14:val="tx1"/>
                  </w14:solidFill>
                </w14:textFill>
              </w:rPr>
              <w:t xml:space="preserve">积极搭建涉外交流平台，推动辖区内律师事务所、仲裁等机构拓展涉外服务业务，帮助企业规避国际投资贸易风险。 </w:t>
            </w:r>
          </w:p>
        </w:tc>
        <w:tc>
          <w:tcPr>
            <w:tcW w:w="2355" w:type="dxa"/>
            <w:noWrap w:val="0"/>
            <w:vAlign w:val="center"/>
          </w:tcPr>
          <w:p w14:paraId="5D726E59">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区司法局</w:t>
            </w:r>
          </w:p>
        </w:tc>
        <w:tc>
          <w:tcPr>
            <w:tcW w:w="1410" w:type="dxa"/>
            <w:noWrap w:val="0"/>
            <w:vAlign w:val="center"/>
          </w:tcPr>
          <w:p w14:paraId="309E9C31">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57D9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4731" w:type="dxa"/>
            <w:gridSpan w:val="4"/>
            <w:noWrap w:val="0"/>
            <w:vAlign w:val="center"/>
          </w:tcPr>
          <w:p w14:paraId="4899D853">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color w:val="000000" w:themeColor="text1"/>
                <w:vertAlign w:val="baseline"/>
                <w14:textFill>
                  <w14:solidFill>
                    <w14:schemeClr w14:val="tx1"/>
                  </w14:solidFill>
                </w14:textFill>
              </w:rPr>
            </w:pPr>
            <w:r>
              <w:rPr>
                <w:rFonts w:hint="eastAsia" w:ascii="黑体" w:hAnsi="黑体" w:eastAsia="黑体" w:cs="黑体"/>
                <w:b w:val="0"/>
                <w:bCs w:val="0"/>
                <w:color w:val="000000" w:themeColor="text1"/>
                <w:kern w:val="2"/>
                <w:sz w:val="24"/>
                <w:szCs w:val="24"/>
                <w:vertAlign w:val="baseline"/>
                <w:lang w:val="en-US" w:eastAsia="zh-CN" w:bidi="ar-SA"/>
                <w14:textFill>
                  <w14:solidFill>
                    <w14:schemeClr w14:val="tx1"/>
                  </w14:solidFill>
                </w14:textFill>
              </w:rPr>
              <w:t>（四）着力提升便利化水平，打造优质服务平台</w:t>
            </w:r>
          </w:p>
        </w:tc>
      </w:tr>
      <w:tr w14:paraId="1C52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864" w:type="dxa"/>
            <w:vMerge w:val="restart"/>
            <w:noWrap w:val="0"/>
            <w:vAlign w:val="center"/>
          </w:tcPr>
          <w:p w14:paraId="54EA8E49">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18.</w:t>
            </w:r>
            <w:r>
              <w:rPr>
                <w:rFonts w:hint="eastAsia" w:ascii="仿宋_GB2312" w:hAnsi="仿宋_GB2312" w:eastAsia="仿宋_GB2312" w:cs="仿宋_GB2312"/>
                <w:b w:val="0"/>
                <w:bCs w:val="0"/>
                <w:color w:val="000000" w:themeColor="text1"/>
                <w:sz w:val="21"/>
                <w:szCs w:val="21"/>
                <w14:textFill>
                  <w14:solidFill>
                    <w14:schemeClr w14:val="tx1"/>
                  </w14:solidFill>
                </w14:textFill>
              </w:rPr>
              <w:t>提升工程项目审批质效</w:t>
            </w:r>
          </w:p>
        </w:tc>
        <w:tc>
          <w:tcPr>
            <w:tcW w:w="9102" w:type="dxa"/>
            <w:noWrap w:val="0"/>
            <w:vAlign w:val="center"/>
          </w:tcPr>
          <w:p w14:paraId="6CEB9385">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（66）优化投资项目审批流程，推行项目前期联合介入“一单五清”模式。</w:t>
            </w:r>
          </w:p>
        </w:tc>
        <w:tc>
          <w:tcPr>
            <w:tcW w:w="2355" w:type="dxa"/>
            <w:vMerge w:val="restart"/>
            <w:noWrap w:val="0"/>
            <w:vAlign w:val="center"/>
          </w:tcPr>
          <w:p w14:paraId="1F7938BC">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市自然资源局甘州分局区发改局</w:t>
            </w:r>
          </w:p>
          <w:p w14:paraId="6A5FFC98">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区水务局</w:t>
            </w:r>
          </w:p>
          <w:p w14:paraId="36E033C8">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区住建局</w:t>
            </w:r>
          </w:p>
          <w:p w14:paraId="3E257609">
            <w:pPr>
              <w:pStyle w:val="7"/>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区林草局</w:t>
            </w:r>
          </w:p>
          <w:p w14:paraId="1F90A49F">
            <w:pPr>
              <w:pStyle w:val="7"/>
              <w:jc w:val="center"/>
              <w:rPr>
                <w:rFonts w:hint="eastAsia"/>
                <w:lang w:val="en-US" w:eastAsia="zh-CN"/>
              </w:rPr>
            </w:pPr>
            <w:r>
              <w:rPr>
                <w:rFonts w:hint="eastAsia" w:ascii="仿宋_GB2312" w:hAnsi="仿宋_GB2312" w:eastAsia="仿宋_GB2312" w:cs="仿宋_GB2312"/>
                <w:lang w:eastAsia="zh-CN"/>
              </w:rPr>
              <w:t>区湿地局</w:t>
            </w:r>
          </w:p>
          <w:p w14:paraId="06724CAB">
            <w:pPr>
              <w:pStyle w:val="7"/>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区应急管理局</w:t>
            </w:r>
          </w:p>
          <w:p w14:paraId="75776A57">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color w:val="000000" w:themeColor="text1"/>
                <w:vertAlign w:val="baseline"/>
                <w:lang w:eastAsia="zh-CN"/>
                <w14:textFill>
                  <w14:solidFill>
                    <w14:schemeClr w14:val="tx1"/>
                  </w14:solidFill>
                </w14:textFill>
              </w:rPr>
            </w:pPr>
            <w:r>
              <w:rPr>
                <w:rFonts w:hint="eastAsia" w:ascii="仿宋_GB2312" w:hAnsi="仿宋_GB2312" w:eastAsia="仿宋_GB2312" w:cs="仿宋_GB2312"/>
                <w:color w:val="000000" w:themeColor="text1"/>
                <w:vertAlign w:val="baseline"/>
                <w:lang w:eastAsia="zh-CN"/>
                <w14:textFill>
                  <w14:solidFill>
                    <w14:schemeClr w14:val="tx1"/>
                  </w14:solidFill>
                </w14:textFill>
              </w:rPr>
              <w:t>区交通运输局</w:t>
            </w:r>
          </w:p>
          <w:p w14:paraId="6087BD19">
            <w:pPr>
              <w:pStyle w:val="7"/>
              <w:jc w:val="center"/>
              <w:rPr>
                <w:rFonts w:hint="eastAsia"/>
                <w:lang w:val="en-US" w:eastAsia="zh-CN"/>
              </w:rPr>
            </w:pPr>
            <w:r>
              <w:rPr>
                <w:rFonts w:hint="eastAsia" w:ascii="仿宋_GB2312" w:hAnsi="仿宋_GB2312" w:eastAsia="仿宋_GB2312" w:cs="仿宋_GB2312"/>
                <w:lang w:eastAsia="zh-CN"/>
              </w:rPr>
              <w:t>区文体广电旅游局</w:t>
            </w:r>
          </w:p>
          <w:p w14:paraId="41B8112A">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lang w:eastAsia="zh-CN"/>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市生态环境局甘州分局</w:t>
            </w:r>
          </w:p>
        </w:tc>
        <w:tc>
          <w:tcPr>
            <w:tcW w:w="1410" w:type="dxa"/>
            <w:noWrap w:val="0"/>
            <w:vAlign w:val="center"/>
          </w:tcPr>
          <w:p w14:paraId="2E71A1F8">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35AB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864" w:type="dxa"/>
            <w:vMerge w:val="continue"/>
            <w:noWrap w:val="0"/>
            <w:vAlign w:val="center"/>
          </w:tcPr>
          <w:p w14:paraId="3F59B079">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1C454249">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（67）深化审批事项“容缺受理”“承诺审批”，健全工程建设项目部门联动办理机制和审批服务清单化管理，事项“并联审批率”提升至90%。</w:t>
            </w:r>
          </w:p>
        </w:tc>
        <w:tc>
          <w:tcPr>
            <w:tcW w:w="2355" w:type="dxa"/>
            <w:vMerge w:val="continue"/>
            <w:noWrap w:val="0"/>
            <w:vAlign w:val="center"/>
          </w:tcPr>
          <w:p w14:paraId="38985DED">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1410" w:type="dxa"/>
            <w:noWrap w:val="0"/>
            <w:vAlign w:val="center"/>
          </w:tcPr>
          <w:p w14:paraId="53167F7F">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22F7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864" w:type="dxa"/>
            <w:vMerge w:val="continue"/>
            <w:noWrap w:val="0"/>
            <w:vAlign w:val="center"/>
          </w:tcPr>
          <w:p w14:paraId="755B8CD1">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40C3E545">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（68）推进工程建设项目全生命周期数字化管理改革，电子证照应用覆盖面提升至100%。</w:t>
            </w:r>
          </w:p>
        </w:tc>
        <w:tc>
          <w:tcPr>
            <w:tcW w:w="2355" w:type="dxa"/>
            <w:noWrap w:val="0"/>
            <w:vAlign w:val="center"/>
          </w:tcPr>
          <w:p w14:paraId="7B4E5CD1">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区住建局</w:t>
            </w:r>
          </w:p>
        </w:tc>
        <w:tc>
          <w:tcPr>
            <w:tcW w:w="1410" w:type="dxa"/>
            <w:noWrap w:val="0"/>
            <w:vAlign w:val="center"/>
          </w:tcPr>
          <w:p w14:paraId="61A23711">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3C81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864" w:type="dxa"/>
            <w:vMerge w:val="continue"/>
            <w:noWrap w:val="0"/>
            <w:vAlign w:val="center"/>
          </w:tcPr>
          <w:p w14:paraId="35C8F143">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01E2C204">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（69）持续深化“分阶段”办理施工许可、“分段式”联合验收。探索推行施工许可“三证合一”改革。</w:t>
            </w:r>
          </w:p>
        </w:tc>
        <w:tc>
          <w:tcPr>
            <w:tcW w:w="2355" w:type="dxa"/>
            <w:noWrap w:val="0"/>
            <w:vAlign w:val="center"/>
          </w:tcPr>
          <w:p w14:paraId="66DA2B4E">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区住建局</w:t>
            </w:r>
          </w:p>
          <w:p w14:paraId="3656E714">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市自然资源局甘州分局</w:t>
            </w:r>
          </w:p>
        </w:tc>
        <w:tc>
          <w:tcPr>
            <w:tcW w:w="1410" w:type="dxa"/>
            <w:noWrap w:val="0"/>
            <w:vAlign w:val="center"/>
          </w:tcPr>
          <w:p w14:paraId="6E9CF9D9">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77A4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864" w:type="dxa"/>
            <w:vMerge w:val="continue"/>
            <w:noWrap w:val="0"/>
            <w:vAlign w:val="center"/>
          </w:tcPr>
          <w:p w14:paraId="03D977DD">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798F1556">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（70）深化“多测合一”，实现测绘成果跨部门互认</w:t>
            </w: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w:t>
            </w:r>
          </w:p>
        </w:tc>
        <w:tc>
          <w:tcPr>
            <w:tcW w:w="2355" w:type="dxa"/>
            <w:noWrap w:val="0"/>
            <w:vAlign w:val="center"/>
          </w:tcPr>
          <w:p w14:paraId="588F46EC">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市自然资源局甘州分局</w:t>
            </w:r>
          </w:p>
        </w:tc>
        <w:tc>
          <w:tcPr>
            <w:tcW w:w="1410" w:type="dxa"/>
            <w:noWrap w:val="0"/>
            <w:vAlign w:val="center"/>
          </w:tcPr>
          <w:p w14:paraId="732D27C9">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76415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864" w:type="dxa"/>
            <w:vMerge w:val="continue"/>
            <w:noWrap w:val="0"/>
            <w:vAlign w:val="center"/>
          </w:tcPr>
          <w:p w14:paraId="03897450">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459AE057">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（71）分类推进环境影响评价“打捆”审批，深入实施环评与排污许可“两证审批合一”。</w:t>
            </w:r>
          </w:p>
        </w:tc>
        <w:tc>
          <w:tcPr>
            <w:tcW w:w="2355" w:type="dxa"/>
            <w:noWrap w:val="0"/>
            <w:vAlign w:val="center"/>
          </w:tcPr>
          <w:p w14:paraId="2A5491F2">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市生态环境局甘州分局</w:t>
            </w:r>
          </w:p>
        </w:tc>
        <w:tc>
          <w:tcPr>
            <w:tcW w:w="1410" w:type="dxa"/>
            <w:noWrap w:val="0"/>
            <w:vAlign w:val="center"/>
          </w:tcPr>
          <w:p w14:paraId="46F2B882">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75FC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64" w:type="dxa"/>
            <w:vMerge w:val="restart"/>
            <w:noWrap w:val="0"/>
            <w:vAlign w:val="center"/>
          </w:tcPr>
          <w:p w14:paraId="0C25F704">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19.提升政务服务规范化水平</w:t>
            </w:r>
          </w:p>
        </w:tc>
        <w:tc>
          <w:tcPr>
            <w:tcW w:w="9102" w:type="dxa"/>
            <w:noWrap w:val="0"/>
            <w:vAlign w:val="center"/>
          </w:tcPr>
          <w:p w14:paraId="6CD4B740">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（72）围绕“高效办成一件事”，研究制定提升政务服务便利度专项工作方案，推动政务服务事项标准统一、业务协同。</w:t>
            </w:r>
          </w:p>
        </w:tc>
        <w:tc>
          <w:tcPr>
            <w:tcW w:w="2355" w:type="dxa"/>
            <w:noWrap w:val="0"/>
            <w:vAlign w:val="center"/>
          </w:tcPr>
          <w:p w14:paraId="16D78985">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区营商环境建设局</w:t>
            </w:r>
          </w:p>
        </w:tc>
        <w:tc>
          <w:tcPr>
            <w:tcW w:w="1410" w:type="dxa"/>
            <w:noWrap w:val="0"/>
            <w:vAlign w:val="center"/>
          </w:tcPr>
          <w:p w14:paraId="7A0597F6">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6月</w:t>
            </w:r>
          </w:p>
        </w:tc>
      </w:tr>
      <w:tr w14:paraId="171F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864" w:type="dxa"/>
            <w:vMerge w:val="continue"/>
            <w:noWrap w:val="0"/>
            <w:vAlign w:val="center"/>
          </w:tcPr>
          <w:p w14:paraId="436D85BD">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2229693B">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（73）建立政务服务“体验官”制度和企业群众需求常态化收集响应机制，推进业务流程再造，提升行政审批效率。</w:t>
            </w:r>
          </w:p>
        </w:tc>
        <w:tc>
          <w:tcPr>
            <w:tcW w:w="2355" w:type="dxa"/>
            <w:noWrap w:val="0"/>
            <w:vAlign w:val="center"/>
          </w:tcPr>
          <w:p w14:paraId="621AF6BC">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区营商环境建设局</w:t>
            </w:r>
          </w:p>
        </w:tc>
        <w:tc>
          <w:tcPr>
            <w:tcW w:w="1410" w:type="dxa"/>
            <w:noWrap w:val="0"/>
            <w:vAlign w:val="center"/>
          </w:tcPr>
          <w:p w14:paraId="6D03BDCE">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6月</w:t>
            </w:r>
          </w:p>
        </w:tc>
      </w:tr>
      <w:tr w14:paraId="5A80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864" w:type="dxa"/>
            <w:vMerge w:val="continue"/>
            <w:noWrap w:val="0"/>
            <w:vAlign w:val="center"/>
          </w:tcPr>
          <w:p w14:paraId="3BCFFFA0">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1AA266F5">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（74）依托一体化政务服务平台开设线上企业服务专区，在区政务服务中心设立“企业服务专区”。</w:t>
            </w:r>
          </w:p>
        </w:tc>
        <w:tc>
          <w:tcPr>
            <w:tcW w:w="2355" w:type="dxa"/>
            <w:noWrap w:val="0"/>
            <w:vAlign w:val="center"/>
          </w:tcPr>
          <w:p w14:paraId="021ED665">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区营商环境建设局</w:t>
            </w:r>
          </w:p>
        </w:tc>
        <w:tc>
          <w:tcPr>
            <w:tcW w:w="1410" w:type="dxa"/>
            <w:noWrap w:val="0"/>
            <w:vAlign w:val="center"/>
          </w:tcPr>
          <w:p w14:paraId="743A2574">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9月</w:t>
            </w:r>
          </w:p>
        </w:tc>
      </w:tr>
      <w:tr w14:paraId="6D25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64" w:type="dxa"/>
            <w:vMerge w:val="continue"/>
            <w:noWrap w:val="0"/>
            <w:vAlign w:val="center"/>
          </w:tcPr>
          <w:p w14:paraId="11E84DBB">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6F9F3405">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（75）“陇商通”企业按期办结率达100%。</w:t>
            </w:r>
          </w:p>
        </w:tc>
        <w:tc>
          <w:tcPr>
            <w:tcW w:w="2355" w:type="dxa"/>
            <w:noWrap w:val="0"/>
            <w:vAlign w:val="center"/>
          </w:tcPr>
          <w:p w14:paraId="53277A67">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区营商环境建设局</w:t>
            </w:r>
          </w:p>
        </w:tc>
        <w:tc>
          <w:tcPr>
            <w:tcW w:w="1410" w:type="dxa"/>
            <w:noWrap w:val="0"/>
            <w:vAlign w:val="center"/>
          </w:tcPr>
          <w:p w14:paraId="211CB57B">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default"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232A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64" w:type="dxa"/>
            <w:vMerge w:val="continue"/>
            <w:noWrap w:val="0"/>
            <w:vAlign w:val="center"/>
          </w:tcPr>
          <w:p w14:paraId="18B745AD">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513279F6">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（76）落实“营商环境+大数据”互促共融工作机制，借助互联网、云计算、人工智能等技术手段，试行营商环境动态监测，提升监测全面性、精准性、实效性。</w:t>
            </w:r>
          </w:p>
        </w:tc>
        <w:tc>
          <w:tcPr>
            <w:tcW w:w="2355" w:type="dxa"/>
            <w:noWrap w:val="0"/>
            <w:vAlign w:val="center"/>
          </w:tcPr>
          <w:p w14:paraId="3851AF4F">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区信息办</w:t>
            </w:r>
          </w:p>
        </w:tc>
        <w:tc>
          <w:tcPr>
            <w:tcW w:w="1410" w:type="dxa"/>
            <w:noWrap w:val="0"/>
            <w:vAlign w:val="center"/>
          </w:tcPr>
          <w:p w14:paraId="03976E26">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default"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3009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64" w:type="dxa"/>
            <w:vMerge w:val="continue"/>
            <w:noWrap w:val="0"/>
            <w:vAlign w:val="center"/>
          </w:tcPr>
          <w:p w14:paraId="2CAF5C20">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399D91F7">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（77）提升12345政务服务便民热线企业专席服务质效，持续完善12345知识库“高效办成一件事”内容，提升政策解答能力，涉企问题按期办结率、满意率均达到 99%以上。</w:t>
            </w:r>
          </w:p>
        </w:tc>
        <w:tc>
          <w:tcPr>
            <w:tcW w:w="2355" w:type="dxa"/>
            <w:noWrap w:val="0"/>
            <w:vAlign w:val="center"/>
          </w:tcPr>
          <w:p w14:paraId="5559C6F6">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vertAlign w:val="baseline"/>
                <w:lang w:val="en-US" w:eastAsia="zh-CN"/>
                <w14:textFill>
                  <w14:solidFill>
                    <w14:schemeClr w14:val="tx1"/>
                  </w14:solidFill>
                </w14:textFill>
              </w:rPr>
              <w:t>区营商环境建设局</w:t>
            </w:r>
          </w:p>
        </w:tc>
        <w:tc>
          <w:tcPr>
            <w:tcW w:w="1410" w:type="dxa"/>
            <w:noWrap w:val="0"/>
            <w:vAlign w:val="center"/>
          </w:tcPr>
          <w:p w14:paraId="7446F5B6">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48FF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864" w:type="dxa"/>
            <w:vMerge w:val="restart"/>
            <w:noWrap w:val="0"/>
            <w:vAlign w:val="center"/>
          </w:tcPr>
          <w:p w14:paraId="16AF536A">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20.提升公用事业服务水平</w:t>
            </w:r>
          </w:p>
        </w:tc>
        <w:tc>
          <w:tcPr>
            <w:tcW w:w="9102" w:type="dxa"/>
            <w:noWrap w:val="0"/>
            <w:vAlign w:val="center"/>
          </w:tcPr>
          <w:p w14:paraId="53ACB416">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（78）完善水电气热网联合报装机制，优化市政接入工程联合服务和数据共享，试点水电气热网等工程联合勘察、联动施工、协同挖掘。</w:t>
            </w:r>
          </w:p>
        </w:tc>
        <w:tc>
          <w:tcPr>
            <w:tcW w:w="2355" w:type="dxa"/>
            <w:noWrap w:val="0"/>
            <w:vAlign w:val="center"/>
          </w:tcPr>
          <w:p w14:paraId="51513D79">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vertAlign w:val="baseline"/>
                <w:lang w:val="en-US" w:eastAsia="zh-CN"/>
                <w14:textFill>
                  <w14:solidFill>
                    <w14:schemeClr w14:val="tx1"/>
                  </w14:solidFill>
                </w14:textFill>
              </w:rPr>
              <w:t>区住建局</w:t>
            </w:r>
          </w:p>
          <w:p w14:paraId="76224C10">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vertAlign w:val="baseline"/>
                <w:lang w:val="en-US" w:eastAsia="zh-CN"/>
                <w14:textFill>
                  <w14:solidFill>
                    <w14:schemeClr w14:val="tx1"/>
                  </w14:solidFill>
                </w14:textFill>
              </w:rPr>
              <w:t>区水务局</w:t>
            </w:r>
          </w:p>
          <w:p w14:paraId="43BB5636">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vertAlign w:val="baseline"/>
                <w:lang w:val="en-US" w:eastAsia="zh-CN"/>
                <w14:textFill>
                  <w14:solidFill>
                    <w14:schemeClr w14:val="tx1"/>
                  </w14:solidFill>
                </w14:textFill>
              </w:rPr>
              <w:t>区工信局</w:t>
            </w:r>
          </w:p>
          <w:p w14:paraId="2ED00475">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vertAlign w:val="baseline"/>
                <w:lang w:val="en-US" w:eastAsia="zh-CN"/>
                <w14:textFill>
                  <w14:solidFill>
                    <w14:schemeClr w14:val="tx1"/>
                  </w14:solidFill>
                </w14:textFill>
              </w:rPr>
              <w:t>区供电公司</w:t>
            </w:r>
          </w:p>
        </w:tc>
        <w:tc>
          <w:tcPr>
            <w:tcW w:w="1410" w:type="dxa"/>
            <w:noWrap w:val="0"/>
            <w:vAlign w:val="center"/>
          </w:tcPr>
          <w:p w14:paraId="50033069">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HAnsi" w:hAnsiTheme="minorHAnsi" w:eastAsiaTheme="minorEastAsia" w:cstheme="minorBidi"/>
                <w:color w:val="000000" w:themeColor="text1"/>
                <w:sz w:val="21"/>
                <w:szCs w:val="2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5FAE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864" w:type="dxa"/>
            <w:vMerge w:val="continue"/>
            <w:noWrap w:val="0"/>
            <w:vAlign w:val="center"/>
          </w:tcPr>
          <w:p w14:paraId="1CD487BC">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p>
        </w:tc>
        <w:tc>
          <w:tcPr>
            <w:tcW w:w="9102" w:type="dxa"/>
            <w:noWrap w:val="0"/>
            <w:vAlign w:val="center"/>
          </w:tcPr>
          <w:p w14:paraId="451F03AC">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（79）强化公用事业服务监督，深化拓展信用记录运用。</w:t>
            </w:r>
          </w:p>
        </w:tc>
        <w:tc>
          <w:tcPr>
            <w:tcW w:w="2355" w:type="dxa"/>
            <w:noWrap w:val="0"/>
            <w:vAlign w:val="center"/>
          </w:tcPr>
          <w:p w14:paraId="48CBEC7F">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vertAlign w:val="baseline"/>
                <w:lang w:val="en-US" w:eastAsia="zh-CN"/>
                <w14:textFill>
                  <w14:solidFill>
                    <w14:schemeClr w14:val="tx1"/>
                  </w14:solidFill>
                </w14:textFill>
              </w:rPr>
              <w:t>区住建局</w:t>
            </w:r>
          </w:p>
          <w:p w14:paraId="767317EA">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vertAlign w:val="baseline"/>
                <w:lang w:val="en-US" w:eastAsia="zh-CN"/>
                <w14:textFill>
                  <w14:solidFill>
                    <w14:schemeClr w14:val="tx1"/>
                  </w14:solidFill>
                </w14:textFill>
              </w:rPr>
              <w:t>区工信局</w:t>
            </w:r>
          </w:p>
          <w:p w14:paraId="4E354939">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vertAlign w:val="baseline"/>
                <w:lang w:val="en-US" w:eastAsia="zh-CN"/>
                <w14:textFill>
                  <w14:solidFill>
                    <w14:schemeClr w14:val="tx1"/>
                  </w14:solidFill>
                </w14:textFill>
              </w:rPr>
              <w:t>区供电公司</w:t>
            </w:r>
          </w:p>
        </w:tc>
        <w:tc>
          <w:tcPr>
            <w:tcW w:w="1410" w:type="dxa"/>
            <w:noWrap w:val="0"/>
            <w:vAlign w:val="center"/>
          </w:tcPr>
          <w:p w14:paraId="20D60BF7">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HAnsi" w:hAnsiTheme="minorHAnsi" w:eastAsiaTheme="minorEastAsia" w:cstheme="minorBidi"/>
                <w:color w:val="000000" w:themeColor="text1"/>
                <w:sz w:val="21"/>
                <w:szCs w:val="2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24AA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864" w:type="dxa"/>
            <w:vMerge w:val="continue"/>
            <w:noWrap w:val="0"/>
            <w:vAlign w:val="center"/>
          </w:tcPr>
          <w:p w14:paraId="715DBDFF">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p>
        </w:tc>
        <w:tc>
          <w:tcPr>
            <w:tcW w:w="9102" w:type="dxa"/>
            <w:noWrap w:val="0"/>
            <w:vAlign w:val="center"/>
          </w:tcPr>
          <w:p w14:paraId="0C4472CE">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（80）降低用电成本，清理非电网直供电环节不合理加价，推进非电网直供电住宅小区“转改直”，严控新增小区转供电，推动正式用电设施与房屋主体工程同步验收、同步交付使用。</w:t>
            </w:r>
          </w:p>
        </w:tc>
        <w:tc>
          <w:tcPr>
            <w:tcW w:w="2355" w:type="dxa"/>
            <w:noWrap w:val="0"/>
            <w:vAlign w:val="center"/>
          </w:tcPr>
          <w:p w14:paraId="1FC48627">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pacing w:val="-11"/>
                <w:sz w:val="21"/>
                <w:szCs w:val="21"/>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11"/>
                <w:sz w:val="21"/>
                <w:szCs w:val="21"/>
                <w:highlight w:val="none"/>
                <w:vertAlign w:val="baseline"/>
                <w:lang w:val="en-US" w:eastAsia="zh-CN"/>
                <w14:textFill>
                  <w14:solidFill>
                    <w14:schemeClr w14:val="tx1"/>
                  </w14:solidFill>
                </w14:textFill>
              </w:rPr>
              <w:t>区供电公司</w:t>
            </w:r>
          </w:p>
        </w:tc>
        <w:tc>
          <w:tcPr>
            <w:tcW w:w="1410" w:type="dxa"/>
            <w:noWrap w:val="0"/>
            <w:vAlign w:val="center"/>
          </w:tcPr>
          <w:p w14:paraId="4B811349">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HAnsi" w:hAnsiTheme="minorHAnsi" w:eastAsiaTheme="minorEastAsia" w:cstheme="minorBidi"/>
                <w:color w:val="000000" w:themeColor="text1"/>
                <w:sz w:val="21"/>
                <w:szCs w:val="2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1ED7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64" w:type="dxa"/>
            <w:vMerge w:val="continue"/>
            <w:noWrap w:val="0"/>
            <w:vAlign w:val="center"/>
          </w:tcPr>
          <w:p w14:paraId="6BB32FC5">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p>
        </w:tc>
        <w:tc>
          <w:tcPr>
            <w:tcW w:w="9102" w:type="dxa"/>
            <w:noWrap w:val="0"/>
            <w:vAlign w:val="center"/>
          </w:tcPr>
          <w:p w14:paraId="0A9C6B0D">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（81）无电力外线工程的低压用户全过程办电时间不超过5个工作日，涉及电力外线工程的不超过15个工作日。</w:t>
            </w:r>
          </w:p>
        </w:tc>
        <w:tc>
          <w:tcPr>
            <w:tcW w:w="2355" w:type="dxa"/>
            <w:noWrap w:val="0"/>
            <w:vAlign w:val="center"/>
          </w:tcPr>
          <w:p w14:paraId="2A338FC5">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pacing w:val="-11"/>
                <w:sz w:val="21"/>
                <w:szCs w:val="21"/>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11"/>
                <w:sz w:val="21"/>
                <w:szCs w:val="21"/>
                <w:highlight w:val="none"/>
                <w:vertAlign w:val="baseline"/>
                <w:lang w:val="en-US" w:eastAsia="zh-CN"/>
                <w14:textFill>
                  <w14:solidFill>
                    <w14:schemeClr w14:val="tx1"/>
                  </w14:solidFill>
                </w14:textFill>
              </w:rPr>
              <w:t>区供电公司</w:t>
            </w:r>
          </w:p>
        </w:tc>
        <w:tc>
          <w:tcPr>
            <w:tcW w:w="1410" w:type="dxa"/>
            <w:noWrap w:val="0"/>
            <w:vAlign w:val="center"/>
          </w:tcPr>
          <w:p w14:paraId="0BF53525">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HAnsi" w:hAnsiTheme="minorHAnsi" w:eastAsiaTheme="minorEastAsia" w:cstheme="minorBidi"/>
                <w:color w:val="000000" w:themeColor="text1"/>
                <w:sz w:val="21"/>
                <w:szCs w:val="2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70AC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864" w:type="dxa"/>
            <w:vMerge w:val="restart"/>
            <w:noWrap w:val="0"/>
            <w:vAlign w:val="center"/>
          </w:tcPr>
          <w:p w14:paraId="237FE03C">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21.</w:t>
            </w:r>
            <w:r>
              <w:rPr>
                <w:rFonts w:hint="eastAsia" w:ascii="仿宋_GB2312" w:hAnsi="仿宋_GB2312" w:eastAsia="仿宋_GB2312" w:cs="仿宋_GB2312"/>
                <w:b w:val="0"/>
                <w:bCs w:val="0"/>
                <w:color w:val="000000" w:themeColor="text1"/>
                <w:sz w:val="21"/>
                <w:szCs w:val="21"/>
                <w14:textFill>
                  <w14:solidFill>
                    <w14:schemeClr w14:val="tx1"/>
                  </w14:solidFill>
                </w14:textFill>
              </w:rPr>
              <w:t>提升不动产登记效率</w:t>
            </w:r>
          </w:p>
        </w:tc>
        <w:tc>
          <w:tcPr>
            <w:tcW w:w="9102" w:type="dxa"/>
            <w:noWrap w:val="0"/>
            <w:vAlign w:val="center"/>
          </w:tcPr>
          <w:p w14:paraId="01A1039B">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（82）完善不动产登记、交易和缴税一窗受理、并行办理功能，推动全业务类型不动产登记“一网通办”，</w:t>
            </w:r>
            <w:r>
              <w:rPr>
                <w:rFonts w:hint="default"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优化</w:t>
            </w: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不动产登记与供水、供电、供气、通信一体化过户。</w:t>
            </w:r>
          </w:p>
        </w:tc>
        <w:tc>
          <w:tcPr>
            <w:tcW w:w="2355" w:type="dxa"/>
            <w:noWrap w:val="0"/>
            <w:vAlign w:val="center"/>
          </w:tcPr>
          <w:p w14:paraId="6A163C79">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区税务局</w:t>
            </w:r>
          </w:p>
          <w:p w14:paraId="6CA43E4C">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区住建局</w:t>
            </w:r>
          </w:p>
          <w:p w14:paraId="6A2C40B9">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区工信局</w:t>
            </w:r>
          </w:p>
          <w:p w14:paraId="250773A3">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pacing w:val="-11"/>
                <w:sz w:val="21"/>
                <w:szCs w:val="21"/>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11"/>
                <w:sz w:val="21"/>
                <w:szCs w:val="21"/>
                <w:highlight w:val="none"/>
                <w:vertAlign w:val="baseline"/>
                <w:lang w:val="en-US" w:eastAsia="zh-CN"/>
                <w14:textFill>
                  <w14:solidFill>
                    <w14:schemeClr w14:val="tx1"/>
                  </w14:solidFill>
                </w14:textFill>
              </w:rPr>
              <w:t>区供电公司</w:t>
            </w:r>
          </w:p>
          <w:p w14:paraId="56B7F727">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市自然资源局甘州分局</w:t>
            </w:r>
          </w:p>
        </w:tc>
        <w:tc>
          <w:tcPr>
            <w:tcW w:w="1410" w:type="dxa"/>
            <w:noWrap w:val="0"/>
            <w:vAlign w:val="center"/>
          </w:tcPr>
          <w:p w14:paraId="4F6DD9FA">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6月</w:t>
            </w:r>
          </w:p>
        </w:tc>
      </w:tr>
      <w:tr w14:paraId="5537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864" w:type="dxa"/>
            <w:vMerge w:val="continue"/>
            <w:noWrap w:val="0"/>
            <w:vAlign w:val="center"/>
          </w:tcPr>
          <w:p w14:paraId="3296F126">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6C001B3B">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（83）推进二手房带抵押过户，依法为地方金融组织开展不动产抵押、质押融资业务提供便利。</w:t>
            </w:r>
          </w:p>
        </w:tc>
        <w:tc>
          <w:tcPr>
            <w:tcW w:w="2355" w:type="dxa"/>
            <w:noWrap w:val="0"/>
            <w:vAlign w:val="center"/>
          </w:tcPr>
          <w:p w14:paraId="449B6BFF">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区财政局</w:t>
            </w:r>
          </w:p>
          <w:p w14:paraId="7347B3B8">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市自然资源局甘州分局</w:t>
            </w:r>
          </w:p>
        </w:tc>
        <w:tc>
          <w:tcPr>
            <w:tcW w:w="1410" w:type="dxa"/>
            <w:noWrap w:val="0"/>
            <w:vAlign w:val="center"/>
          </w:tcPr>
          <w:p w14:paraId="7F04F46C">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6月</w:t>
            </w:r>
          </w:p>
        </w:tc>
      </w:tr>
      <w:tr w14:paraId="76F2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864" w:type="dxa"/>
            <w:vMerge w:val="restart"/>
            <w:noWrap w:val="0"/>
            <w:vAlign w:val="center"/>
          </w:tcPr>
          <w:p w14:paraId="6B510B12">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22.提升纳税服务效率</w:t>
            </w:r>
          </w:p>
        </w:tc>
        <w:tc>
          <w:tcPr>
            <w:tcW w:w="9102" w:type="dxa"/>
            <w:noWrap w:val="0"/>
            <w:vAlign w:val="center"/>
          </w:tcPr>
          <w:p w14:paraId="052696E0">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（84）高效办成“企业纳税一件事”，推广“信息系统自动提取数据、自动计算税额、自动预填申报、纳税人确认提交”申报模式。</w:t>
            </w:r>
          </w:p>
        </w:tc>
        <w:tc>
          <w:tcPr>
            <w:tcW w:w="2355" w:type="dxa"/>
            <w:noWrap w:val="0"/>
            <w:vAlign w:val="center"/>
          </w:tcPr>
          <w:p w14:paraId="1BBA96F0">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区税务局</w:t>
            </w:r>
          </w:p>
        </w:tc>
        <w:tc>
          <w:tcPr>
            <w:tcW w:w="1410" w:type="dxa"/>
            <w:noWrap w:val="0"/>
            <w:vAlign w:val="center"/>
          </w:tcPr>
          <w:p w14:paraId="4B7101BE">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4691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864" w:type="dxa"/>
            <w:vMerge w:val="continue"/>
            <w:noWrap w:val="0"/>
            <w:vAlign w:val="center"/>
          </w:tcPr>
          <w:p w14:paraId="20FCED4C">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4F88E6D1">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（85）改善办税环境，合理规划办税服务厅布局，设置办税服务区、自助办税区、咨询辅导区、等候休息区等功能区域。</w:t>
            </w:r>
          </w:p>
        </w:tc>
        <w:tc>
          <w:tcPr>
            <w:tcW w:w="2355" w:type="dxa"/>
            <w:noWrap w:val="0"/>
            <w:vAlign w:val="center"/>
          </w:tcPr>
          <w:p w14:paraId="0710C680">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区税务局</w:t>
            </w:r>
          </w:p>
        </w:tc>
        <w:tc>
          <w:tcPr>
            <w:tcW w:w="1410" w:type="dxa"/>
            <w:noWrap w:val="0"/>
            <w:vAlign w:val="center"/>
          </w:tcPr>
          <w:p w14:paraId="2BC8BEB0">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0649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864" w:type="dxa"/>
            <w:vMerge w:val="continue"/>
            <w:noWrap w:val="0"/>
            <w:vAlign w:val="center"/>
          </w:tcPr>
          <w:p w14:paraId="161C6382">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7A26548A">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（86）启动县级税费服务运营模式，推行“精准推送、智能交互、办件协同、全程互动”征纳互动服务，人工互动应答成功率达到90%以上。</w:t>
            </w:r>
          </w:p>
        </w:tc>
        <w:tc>
          <w:tcPr>
            <w:tcW w:w="2355" w:type="dxa"/>
            <w:noWrap w:val="0"/>
            <w:vAlign w:val="center"/>
          </w:tcPr>
          <w:p w14:paraId="6DA31D4F">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区税务局</w:t>
            </w:r>
          </w:p>
        </w:tc>
        <w:tc>
          <w:tcPr>
            <w:tcW w:w="1410" w:type="dxa"/>
            <w:noWrap w:val="0"/>
            <w:vAlign w:val="center"/>
          </w:tcPr>
          <w:p w14:paraId="21C563C6">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3B27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864" w:type="dxa"/>
            <w:vMerge w:val="continue"/>
            <w:noWrap w:val="0"/>
            <w:vAlign w:val="center"/>
          </w:tcPr>
          <w:p w14:paraId="4753E7A9">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p>
        </w:tc>
        <w:tc>
          <w:tcPr>
            <w:tcW w:w="9102" w:type="dxa"/>
            <w:noWrap w:val="0"/>
            <w:vAlign w:val="center"/>
          </w:tcPr>
          <w:p w14:paraId="22AD9912">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（87）全面应用数字化电子发票，推广覆盖率达到99%以上，开票率达到90%以上。</w:t>
            </w:r>
          </w:p>
        </w:tc>
        <w:tc>
          <w:tcPr>
            <w:tcW w:w="2355" w:type="dxa"/>
            <w:noWrap w:val="0"/>
            <w:vAlign w:val="center"/>
          </w:tcPr>
          <w:p w14:paraId="134EFEB6">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区税务局</w:t>
            </w:r>
          </w:p>
        </w:tc>
        <w:tc>
          <w:tcPr>
            <w:tcW w:w="1410" w:type="dxa"/>
            <w:noWrap w:val="0"/>
            <w:vAlign w:val="center"/>
          </w:tcPr>
          <w:p w14:paraId="362A957E">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6E59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4731" w:type="dxa"/>
            <w:gridSpan w:val="4"/>
            <w:noWrap w:val="0"/>
            <w:vAlign w:val="center"/>
          </w:tcPr>
          <w:p w14:paraId="0240C1D6">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color w:val="000000" w:themeColor="text1"/>
                <w:vertAlign w:val="baseline"/>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三、攻坚重点</w:t>
            </w:r>
          </w:p>
        </w:tc>
      </w:tr>
      <w:tr w14:paraId="11B8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864" w:type="dxa"/>
            <w:noWrap w:val="0"/>
            <w:vAlign w:val="center"/>
          </w:tcPr>
          <w:p w14:paraId="5669AEFD">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（一）破解政策落地难题，实施精准供给提升行动。</w:t>
            </w:r>
          </w:p>
        </w:tc>
        <w:tc>
          <w:tcPr>
            <w:tcW w:w="9102" w:type="dxa"/>
            <w:noWrap w:val="0"/>
            <w:vAlign w:val="center"/>
          </w:tcPr>
          <w:p w14:paraId="4F408C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00" w:lineRule="exact"/>
              <w:ind w:right="0"/>
              <w:jc w:val="left"/>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（88）</w:t>
            </w:r>
            <w:r>
              <w:rPr>
                <w:rFonts w:hint="eastAsia" w:ascii="仿宋_GB2312" w:hAnsi="仿宋_GB2312" w:eastAsia="仿宋_GB2312" w:cs="仿宋_GB2312"/>
                <w:b w:val="0"/>
                <w:bCs w:val="0"/>
                <w:color w:val="000000" w:themeColor="text1"/>
                <w:kern w:val="0"/>
                <w:sz w:val="21"/>
                <w:szCs w:val="21"/>
                <w:vertAlign w:val="baseline"/>
                <w:lang w:val="en-US" w:eastAsia="zh-CN"/>
                <w14:textFill>
                  <w14:solidFill>
                    <w14:schemeClr w14:val="tx1"/>
                  </w14:solidFill>
                </w14:textFill>
              </w:rPr>
              <w:t>围绕“政策优化落实、政务效能提升、把握企业所需所盼”三大核心任务，制作“营商环境政策明白卡”，做优“甘州政策之声”专栏，深入挖掘国家、省市政策中蕴含的技术改造、扩大投资、产业升级等机遇，提炼政策适用对象、申报流程、奖补标准等要素，将政策内容以图文并茂的方式呈现。依托门户网站、微信公众号线上线下等多渠道宣传推广利企便民政策。结合企业走访、专题培训、政策宣讲等活动，进一步扩大政策知晓率和覆盖面，不断提高企业满意度。</w:t>
            </w:r>
          </w:p>
        </w:tc>
        <w:tc>
          <w:tcPr>
            <w:tcW w:w="2355" w:type="dxa"/>
            <w:noWrap w:val="0"/>
            <w:vAlign w:val="center"/>
          </w:tcPr>
          <w:p w14:paraId="7D98BE48">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default"/>
                <w:color w:val="000000" w:themeColor="text1"/>
                <w:vertAlign w:val="baseline"/>
                <w:lang w:val="en-US"/>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区属各相关部门按职责分工负责</w:t>
            </w:r>
          </w:p>
        </w:tc>
        <w:tc>
          <w:tcPr>
            <w:tcW w:w="1410" w:type="dxa"/>
            <w:noWrap w:val="0"/>
            <w:vAlign w:val="center"/>
          </w:tcPr>
          <w:p w14:paraId="52ABE401">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4423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1864" w:type="dxa"/>
            <w:noWrap w:val="0"/>
            <w:vAlign w:val="center"/>
          </w:tcPr>
          <w:p w14:paraId="1504DC96">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vertAlign w:val="baseline"/>
                <w:lang w:val="en-US" w:eastAsia="zh-CN" w:bidi="ar"/>
                <w14:textFill>
                  <w14:solidFill>
                    <w14:schemeClr w14:val="tx1"/>
                  </w14:solidFill>
                </w14:textFill>
              </w:rPr>
              <w:t>（二）破解优势短板难题，实施改革创新提升行动。</w:t>
            </w:r>
          </w:p>
        </w:tc>
        <w:tc>
          <w:tcPr>
            <w:tcW w:w="9102" w:type="dxa"/>
            <w:noWrap w:val="0"/>
            <w:vAlign w:val="center"/>
          </w:tcPr>
          <w:p w14:paraId="77924741">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（89）</w:t>
            </w:r>
            <w:r>
              <w:rPr>
                <w:rFonts w:hint="eastAsia" w:ascii="仿宋_GB2312" w:hAnsi="仿宋_GB2312" w:eastAsia="仿宋_GB2312" w:cs="仿宋_GB2312"/>
                <w:b w:val="0"/>
                <w:bCs w:val="0"/>
                <w:color w:val="000000" w:themeColor="text1"/>
                <w:kern w:val="0"/>
                <w:sz w:val="21"/>
                <w:szCs w:val="21"/>
                <w:lang w:val="en-US" w:eastAsia="zh-CN"/>
                <w14:textFill>
                  <w14:solidFill>
                    <w14:schemeClr w14:val="tx1"/>
                  </w14:solidFill>
                </w14:textFill>
              </w:rPr>
              <w:t>聚焦竞争优势弱，首创经验少等短板，鼓励各部门单位围绕市场准入、要素配置、数字政府等领域积极探索“一区一品”“一行业一品”特色营商环境，加快形成一批体现地区（行业）特色、可复制可推广的典型案例。依托“丝路营商·甘州领航”专栏，邀请企业代表与政府部门负责人围绕各类营商话题深入对话，从企业发展困境，到惠企政策落地，再到政企协同破局的实践经验分享，以亲身经历与实际工作现身说法，搭建政企沟通桥梁。</w:t>
            </w:r>
          </w:p>
        </w:tc>
        <w:tc>
          <w:tcPr>
            <w:tcW w:w="2355" w:type="dxa"/>
            <w:noWrap w:val="0"/>
            <w:vAlign w:val="center"/>
          </w:tcPr>
          <w:p w14:paraId="448459A8">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区属各相关部门按职责分工负责</w:t>
            </w:r>
          </w:p>
        </w:tc>
        <w:tc>
          <w:tcPr>
            <w:tcW w:w="1410" w:type="dxa"/>
            <w:noWrap w:val="0"/>
            <w:vAlign w:val="center"/>
          </w:tcPr>
          <w:p w14:paraId="2E01921A">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02C4B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1864" w:type="dxa"/>
            <w:noWrap w:val="0"/>
            <w:vAlign w:val="center"/>
          </w:tcPr>
          <w:p w14:paraId="3E1EED33">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（三）破解信贷融资难题，实施金融服务提升行动。</w:t>
            </w:r>
          </w:p>
        </w:tc>
        <w:tc>
          <w:tcPr>
            <w:tcW w:w="9102" w:type="dxa"/>
            <w:noWrap w:val="0"/>
            <w:vAlign w:val="center"/>
          </w:tcPr>
          <w:p w14:paraId="5DFD0ED3">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lang w:val="en-US" w:eastAsia="zh-CN"/>
                <w14:textFill>
                  <w14:solidFill>
                    <w14:schemeClr w14:val="tx1"/>
                  </w14:solidFill>
                </w14:textFill>
              </w:rPr>
              <w:t>（90）全面落实“包抓联”“六必访”机制，开展“近悦远来·入企惠企帮企”走访活动，分行业领域建立融资需求走访目标企业清单，助力银行精准筛选目标客户，开展“送贷上门”服务，为企业量身定制“一对一”个性化融资服务方案，提供全过程融资服务。充分发挥甘肃“信易贷”融资平台作用，畅通银企资金供需信息渠道，帮助企业、银行实现精准对接。大力开展“见贷即担”“见担即贷”业务，提高政策性融资担保额度及覆盖面，解决担保不足难题。定期举办政银企对接会、金融知识培训等活动，增强企业对金融政策的理解与应用能力，确保金融服务更加贴近企业实际需求。</w:t>
            </w:r>
          </w:p>
        </w:tc>
        <w:tc>
          <w:tcPr>
            <w:tcW w:w="2355" w:type="dxa"/>
            <w:noWrap w:val="0"/>
            <w:vAlign w:val="center"/>
          </w:tcPr>
          <w:p w14:paraId="001EC4AB">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区属各相关部门按职责分工负责</w:t>
            </w:r>
          </w:p>
        </w:tc>
        <w:tc>
          <w:tcPr>
            <w:tcW w:w="1410" w:type="dxa"/>
            <w:noWrap w:val="0"/>
            <w:vAlign w:val="center"/>
          </w:tcPr>
          <w:p w14:paraId="13FE5067">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350C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trPr>
        <w:tc>
          <w:tcPr>
            <w:tcW w:w="1864" w:type="dxa"/>
            <w:noWrap w:val="0"/>
            <w:vAlign w:val="center"/>
          </w:tcPr>
          <w:p w14:paraId="201ABCF2">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kern w:val="0"/>
                <w:sz w:val="21"/>
                <w:szCs w:val="21"/>
                <w:vertAlign w:val="baseli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vertAlign w:val="baseline"/>
                <w:lang w:val="en-US" w:eastAsia="zh-CN" w:bidi="ar"/>
                <w14:textFill>
                  <w14:solidFill>
                    <w14:schemeClr w14:val="tx1"/>
                  </w14:solidFill>
                </w14:textFill>
              </w:rPr>
              <w:t>（四）</w:t>
            </w:r>
            <w:r>
              <w:rPr>
                <w:rFonts w:hint="eastAsia" w:ascii="仿宋_GB2312" w:hAnsi="仿宋_GB2312" w:eastAsia="仿宋_GB2312" w:cs="仿宋_GB2312"/>
                <w:b w:val="0"/>
                <w:bCs w:val="0"/>
                <w:color w:val="000000" w:themeColor="text1"/>
                <w:kern w:val="0"/>
                <w:sz w:val="21"/>
                <w:szCs w:val="21"/>
                <w:lang w:val="en-US" w:eastAsia="zh-CN"/>
                <w14:textFill>
                  <w14:solidFill>
                    <w14:schemeClr w14:val="tx1"/>
                  </w14:solidFill>
                </w14:textFill>
              </w:rPr>
              <w:t>破解有诺不践难题，实施纾困解难提升行动。</w:t>
            </w:r>
          </w:p>
        </w:tc>
        <w:tc>
          <w:tcPr>
            <w:tcW w:w="9102" w:type="dxa"/>
            <w:noWrap w:val="0"/>
            <w:vAlign w:val="center"/>
          </w:tcPr>
          <w:p w14:paraId="45235C0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textAlignment w:val="auto"/>
              <w:rPr>
                <w:rFonts w:hint="eastAsia" w:ascii="仿宋_GB2312" w:hAnsi="仿宋_GB2312" w:eastAsia="仿宋_GB2312" w:cs="仿宋_GB2312"/>
                <w:b w:val="0"/>
                <w:bCs w:val="0"/>
                <w:color w:val="000000" w:themeColor="text1"/>
                <w:kern w:val="0"/>
                <w:sz w:val="21"/>
                <w:szCs w:val="21"/>
                <w:vertAlign w:val="baseli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（91）</w:t>
            </w:r>
            <w:r>
              <w:rPr>
                <w:rFonts w:hint="eastAsia" w:ascii="仿宋_GB2312" w:hAnsi="仿宋_GB2312" w:eastAsia="仿宋_GB2312" w:cs="仿宋_GB2312"/>
                <w:b w:val="0"/>
                <w:bCs w:val="0"/>
                <w:color w:val="000000" w:themeColor="text1"/>
                <w:kern w:val="0"/>
                <w:sz w:val="21"/>
                <w:szCs w:val="21"/>
                <w:lang w:val="en-US" w:eastAsia="zh-CN"/>
                <w14:textFill>
                  <w14:solidFill>
                    <w14:schemeClr w14:val="tx1"/>
                  </w14:solidFill>
                </w14:textFill>
              </w:rPr>
              <w:t>完善“政府承诺+社会监督+失信问责”机制，实现政务信用信息归集、共享覆盖。加强政府机构失信问题治理，集中整治“新官不理旧账”、政策承诺不兑现等问题。建立合同履约信用监管机制，实现单位“全覆盖”、合同“全纳入”、风险“全预警”、违约“全监管”。贯彻落实政商交往负面清单，推动党政干部和企业家双向建立亲清统一的新型政商关系，保持风清气正的营商环境。畅通政企沟通渠道，健全解决拖欠账款问题长效机制，帮助企业解决实际困难问题。</w:t>
            </w:r>
          </w:p>
        </w:tc>
        <w:tc>
          <w:tcPr>
            <w:tcW w:w="2355" w:type="dxa"/>
            <w:noWrap w:val="0"/>
            <w:vAlign w:val="center"/>
          </w:tcPr>
          <w:p w14:paraId="3DB26726">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区属各相关部门按职责分工负责</w:t>
            </w:r>
          </w:p>
        </w:tc>
        <w:tc>
          <w:tcPr>
            <w:tcW w:w="1410" w:type="dxa"/>
            <w:noWrap w:val="0"/>
            <w:vAlign w:val="center"/>
          </w:tcPr>
          <w:p w14:paraId="0E1E0873">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242F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trPr>
        <w:tc>
          <w:tcPr>
            <w:tcW w:w="1864" w:type="dxa"/>
            <w:noWrap w:val="0"/>
            <w:vAlign w:val="center"/>
          </w:tcPr>
          <w:p w14:paraId="64B35756">
            <w:pPr>
              <w:pStyle w:val="7"/>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（五）</w:t>
            </w:r>
            <w:r>
              <w:rPr>
                <w:rFonts w:hint="eastAsia" w:ascii="仿宋_GB2312" w:hAnsi="仿宋_GB2312" w:eastAsia="仿宋_GB2312" w:cs="仿宋_GB2312"/>
                <w:b w:val="0"/>
                <w:bCs w:val="0"/>
                <w:color w:val="000000" w:themeColor="text1"/>
                <w:kern w:val="0"/>
                <w:sz w:val="21"/>
                <w:szCs w:val="21"/>
                <w:lang w:val="en-US" w:eastAsia="zh-CN"/>
                <w14:textFill>
                  <w14:solidFill>
                    <w14:schemeClr w14:val="tx1"/>
                  </w14:solidFill>
                </w14:textFill>
              </w:rPr>
              <w:t>破解感知温差难题，实施企业满意度提升行动。</w:t>
            </w:r>
          </w:p>
        </w:tc>
        <w:tc>
          <w:tcPr>
            <w:tcW w:w="9102" w:type="dxa"/>
            <w:noWrap w:val="0"/>
            <w:vAlign w:val="center"/>
          </w:tcPr>
          <w:p w14:paraId="39AE482D">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lang w:val="en-US" w:eastAsia="zh-CN" w:bidi="ar"/>
                <w14:textFill>
                  <w14:solidFill>
                    <w14:schemeClr w14:val="tx1"/>
                  </w14:solidFill>
                </w14:textFill>
              </w:rPr>
              <w:t>（92）坚持把企业家当成“自家人”，把企业事当“自家事”，持续完善与民营企业沟通联系和解决问题机制。聚焦企业需求，创新工作机制，全面推行“1个区级监测站+10个企业监测点+N个行业联络员”的三级服务网络。深入“营商问题靶向调研”“政务服务沉浸式体验”活动，通过“线上问卷+实地跟办+数据追踪”立体化收集企业诉求，形成一批针对性强、对策精准的建议。由监测站牵头，会同区“三抓三促”行动专项工作机制办公室，按照问题类型、责任部门、整改时限形成督办台账，采用“专报+监督”模式压实整改责任。将监测点反馈的高频问题作为改革切入点推动制度创新，定期发布企业关注问题“热点榜”和“优秀案例”，不断提升企业认同感、满意度。</w:t>
            </w:r>
          </w:p>
        </w:tc>
        <w:tc>
          <w:tcPr>
            <w:tcW w:w="2355" w:type="dxa"/>
            <w:noWrap w:val="0"/>
            <w:vAlign w:val="center"/>
          </w:tcPr>
          <w:p w14:paraId="58D80262">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区属各相关部门按职责分工负责</w:t>
            </w:r>
          </w:p>
        </w:tc>
        <w:tc>
          <w:tcPr>
            <w:tcW w:w="1410" w:type="dxa"/>
            <w:noWrap w:val="0"/>
            <w:vAlign w:val="center"/>
          </w:tcPr>
          <w:p w14:paraId="4E80824D">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r w14:paraId="5078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trPr>
        <w:tc>
          <w:tcPr>
            <w:tcW w:w="1864" w:type="dxa"/>
            <w:noWrap w:val="0"/>
            <w:vAlign w:val="center"/>
          </w:tcPr>
          <w:p w14:paraId="410509A9">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kern w:val="0"/>
                <w:sz w:val="21"/>
                <w:szCs w:val="21"/>
                <w:vertAlign w:val="baseli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vertAlign w:val="baseline"/>
                <w:lang w:val="en-US" w:eastAsia="zh-CN" w:bidi="ar"/>
                <w14:textFill>
                  <w14:solidFill>
                    <w14:schemeClr w14:val="tx1"/>
                  </w14:solidFill>
                </w14:textFill>
              </w:rPr>
              <w:t>（六）破解效率瓶颈难题，实施政务效能提升行动。</w:t>
            </w:r>
          </w:p>
          <w:p w14:paraId="4E2DACC2">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 w:val="0"/>
                <w:bCs w:val="0"/>
                <w:color w:val="000000" w:themeColor="text1"/>
                <w:kern w:val="0"/>
                <w:sz w:val="21"/>
                <w:szCs w:val="21"/>
                <w:vertAlign w:val="baseline"/>
                <w:lang w:val="en-US" w:eastAsia="zh-CN" w:bidi="ar"/>
                <w14:textFill>
                  <w14:solidFill>
                    <w14:schemeClr w14:val="tx1"/>
                  </w14:solidFill>
                </w14:textFill>
              </w:rPr>
            </w:pPr>
          </w:p>
        </w:tc>
        <w:tc>
          <w:tcPr>
            <w:tcW w:w="9102" w:type="dxa"/>
            <w:noWrap w:val="0"/>
            <w:vAlign w:val="center"/>
          </w:tcPr>
          <w:p w14:paraId="6E353E5F">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eastAsia="仿宋_GB2312" w:cs="仿宋_GB2312"/>
                <w:b w:val="0"/>
                <w:bCs w:val="0"/>
                <w:color w:val="000000" w:themeColor="text1"/>
                <w:kern w:val="0"/>
                <w:sz w:val="21"/>
                <w:szCs w:val="21"/>
                <w:vertAlign w:val="baseli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（93）</w:t>
            </w:r>
            <w:r>
              <w:rPr>
                <w:rFonts w:hint="eastAsia" w:ascii="仿宋_GB2312" w:hAnsi="仿宋_GB2312" w:eastAsia="仿宋_GB2312" w:cs="仿宋_GB2312"/>
                <w:b w:val="0"/>
                <w:bCs w:val="0"/>
                <w:color w:val="000000" w:themeColor="text1"/>
                <w:kern w:val="0"/>
                <w:sz w:val="21"/>
                <w:szCs w:val="21"/>
                <w:lang w:val="en-US" w:eastAsia="zh-CN"/>
                <w14:textFill>
                  <w14:solidFill>
                    <w14:schemeClr w14:val="tx1"/>
                  </w14:solidFill>
                </w14:textFill>
              </w:rPr>
              <w:t>坚持深化改革，紧扣办事更加便捷，依托“甘肃省政务服务网”“甘快办”、自助终端等平台，提供申请受理、审核、结果送达等全流程、全环节网上服务，推动更多事项由网上可办向全程网办、好办易办转变。加强项目全生命周期全流程服务，建立分工协作、上下联动、机制健全的服务网络，及时解决项目推进中的难点问题。健全“接诉即办”机制，充分发挥“12345”总客服作用，及时了解群众和企业反馈的问题建议，高效解决问题，提供更优服务。</w:t>
            </w:r>
          </w:p>
        </w:tc>
        <w:tc>
          <w:tcPr>
            <w:tcW w:w="2355" w:type="dxa"/>
            <w:noWrap w:val="0"/>
            <w:vAlign w:val="center"/>
          </w:tcPr>
          <w:p w14:paraId="3BCBC4A8">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区属各相关部门按职责分工负责</w:t>
            </w:r>
          </w:p>
        </w:tc>
        <w:tc>
          <w:tcPr>
            <w:tcW w:w="1410" w:type="dxa"/>
            <w:noWrap w:val="0"/>
            <w:vAlign w:val="center"/>
          </w:tcPr>
          <w:p w14:paraId="220E4519">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rPr>
                <w:color w:val="000000" w:themeColor="text1"/>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t>12月</w:t>
            </w:r>
          </w:p>
        </w:tc>
      </w:tr>
    </w:tbl>
    <w:p w14:paraId="5303517A">
      <w:pPr>
        <w:bidi w:val="0"/>
        <w:jc w:val="left"/>
        <w:rPr>
          <w:rFonts w:hint="eastAsia"/>
        </w:rPr>
      </w:pPr>
    </w:p>
    <w:sectPr>
      <w:pgSz w:w="16838" w:h="11906" w:orient="landscape"/>
      <w:pgMar w:top="1440" w:right="1080" w:bottom="1440" w:left="108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ECAFEC-AA40-4653-88FF-58D2B70E3B1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63E0D1E-AD52-46B4-97E3-9DF21EFEDFA5}"/>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3" w:fontKey="{A392E505-4B4F-42CD-B8B3-D1A1BBB8038A}"/>
  </w:font>
  <w:font w:name="楷体_GB2312">
    <w:panose1 w:val="02010609030101010101"/>
    <w:charset w:val="86"/>
    <w:family w:val="auto"/>
    <w:pitch w:val="default"/>
    <w:sig w:usb0="00000001" w:usb1="080E0000" w:usb2="00000000" w:usb3="00000000" w:csb0="00040000" w:csb1="00000000"/>
    <w:embedRegular r:id="rId4" w:fontKey="{44F89F6A-A98F-47DA-A1B0-EECA110F6E63}"/>
  </w:font>
  <w:font w:name="仿宋_GB2312">
    <w:panose1 w:val="02010609030101010101"/>
    <w:charset w:val="86"/>
    <w:family w:val="auto"/>
    <w:pitch w:val="default"/>
    <w:sig w:usb0="00000001" w:usb1="080E0000" w:usb2="00000000" w:usb3="00000000" w:csb0="00040000" w:csb1="00000000"/>
    <w:embedRegular r:id="rId5" w:fontKey="{B78A4123-2360-415A-9AD2-C1DB3441D8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C468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0C974">
                          <w:pPr>
                            <w:pStyle w:val="8"/>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40C974">
                    <w:pPr>
                      <w:pStyle w:val="8"/>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CCD5B">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4FBCB">
                          <w:pPr>
                            <w:pStyle w:val="8"/>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CC4FBCB">
                    <w:pPr>
                      <w:pStyle w:val="8"/>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84617"/>
    <w:rsid w:val="00423C6D"/>
    <w:rsid w:val="004C5B72"/>
    <w:rsid w:val="00665BAD"/>
    <w:rsid w:val="012C2034"/>
    <w:rsid w:val="0159301C"/>
    <w:rsid w:val="01867812"/>
    <w:rsid w:val="01E0373D"/>
    <w:rsid w:val="027345B1"/>
    <w:rsid w:val="028B4239"/>
    <w:rsid w:val="02922C89"/>
    <w:rsid w:val="02A51709"/>
    <w:rsid w:val="03DD1CE2"/>
    <w:rsid w:val="04400165"/>
    <w:rsid w:val="045A77D7"/>
    <w:rsid w:val="045B52FD"/>
    <w:rsid w:val="04847044"/>
    <w:rsid w:val="049E2501"/>
    <w:rsid w:val="04D05CEB"/>
    <w:rsid w:val="05445D91"/>
    <w:rsid w:val="05735A3A"/>
    <w:rsid w:val="058D14E6"/>
    <w:rsid w:val="059705B7"/>
    <w:rsid w:val="06304C93"/>
    <w:rsid w:val="06897EFF"/>
    <w:rsid w:val="08B80F70"/>
    <w:rsid w:val="093F51ED"/>
    <w:rsid w:val="0A195A3E"/>
    <w:rsid w:val="0A342878"/>
    <w:rsid w:val="0A850353"/>
    <w:rsid w:val="0B950CB0"/>
    <w:rsid w:val="0BEE4152"/>
    <w:rsid w:val="0C945850"/>
    <w:rsid w:val="0D18605F"/>
    <w:rsid w:val="0D2C7836"/>
    <w:rsid w:val="0DD51C7C"/>
    <w:rsid w:val="0E2A3A63"/>
    <w:rsid w:val="0E4730C2"/>
    <w:rsid w:val="0E6E55E0"/>
    <w:rsid w:val="0F264E85"/>
    <w:rsid w:val="0F2E7896"/>
    <w:rsid w:val="0F9C6EF5"/>
    <w:rsid w:val="107F4121"/>
    <w:rsid w:val="10E01064"/>
    <w:rsid w:val="118F0738"/>
    <w:rsid w:val="12B427A8"/>
    <w:rsid w:val="132A2A6A"/>
    <w:rsid w:val="13A26AA4"/>
    <w:rsid w:val="140C5C8F"/>
    <w:rsid w:val="14131750"/>
    <w:rsid w:val="14AB3737"/>
    <w:rsid w:val="14B7657F"/>
    <w:rsid w:val="15CE3B81"/>
    <w:rsid w:val="15EC4007"/>
    <w:rsid w:val="16CB7645"/>
    <w:rsid w:val="173B3498"/>
    <w:rsid w:val="17BF3F74"/>
    <w:rsid w:val="17E21B65"/>
    <w:rsid w:val="18A32E5C"/>
    <w:rsid w:val="18DC0363"/>
    <w:rsid w:val="18E11E1D"/>
    <w:rsid w:val="18FC7F4B"/>
    <w:rsid w:val="195C76F5"/>
    <w:rsid w:val="19BE789C"/>
    <w:rsid w:val="1A304E0A"/>
    <w:rsid w:val="1A3507AD"/>
    <w:rsid w:val="1A665596"/>
    <w:rsid w:val="1AA2738A"/>
    <w:rsid w:val="1AA60B5F"/>
    <w:rsid w:val="1B1E70EC"/>
    <w:rsid w:val="1BA72C14"/>
    <w:rsid w:val="1C0A168B"/>
    <w:rsid w:val="1C253052"/>
    <w:rsid w:val="1C4921B3"/>
    <w:rsid w:val="1C5D1503"/>
    <w:rsid w:val="1CB44504"/>
    <w:rsid w:val="1CDE4CFD"/>
    <w:rsid w:val="1D7E5E8C"/>
    <w:rsid w:val="1D886D0B"/>
    <w:rsid w:val="1EAE27A1"/>
    <w:rsid w:val="1F5F715F"/>
    <w:rsid w:val="1FFA2E13"/>
    <w:rsid w:val="201605FE"/>
    <w:rsid w:val="2063580D"/>
    <w:rsid w:val="20852582"/>
    <w:rsid w:val="20BE2A44"/>
    <w:rsid w:val="20E030F7"/>
    <w:rsid w:val="20F070A1"/>
    <w:rsid w:val="216435EB"/>
    <w:rsid w:val="225B49EE"/>
    <w:rsid w:val="232E5C5F"/>
    <w:rsid w:val="236C056D"/>
    <w:rsid w:val="23CD64C6"/>
    <w:rsid w:val="24575689"/>
    <w:rsid w:val="246F652F"/>
    <w:rsid w:val="25096BE0"/>
    <w:rsid w:val="25535E50"/>
    <w:rsid w:val="2762425F"/>
    <w:rsid w:val="27706151"/>
    <w:rsid w:val="27AC1848"/>
    <w:rsid w:val="27D330A9"/>
    <w:rsid w:val="27DD3AF9"/>
    <w:rsid w:val="288C4FE2"/>
    <w:rsid w:val="28DB6D52"/>
    <w:rsid w:val="29C72969"/>
    <w:rsid w:val="29D37F29"/>
    <w:rsid w:val="29E67293"/>
    <w:rsid w:val="2A1C40C0"/>
    <w:rsid w:val="2AAD2577"/>
    <w:rsid w:val="2AF0409A"/>
    <w:rsid w:val="2AFC2AE6"/>
    <w:rsid w:val="2B8E1990"/>
    <w:rsid w:val="2C424529"/>
    <w:rsid w:val="2C722ED4"/>
    <w:rsid w:val="2C842D93"/>
    <w:rsid w:val="2D261B3E"/>
    <w:rsid w:val="2D713318"/>
    <w:rsid w:val="2E4B1DBB"/>
    <w:rsid w:val="2EE44E0D"/>
    <w:rsid w:val="308C2216"/>
    <w:rsid w:val="31853836"/>
    <w:rsid w:val="32621481"/>
    <w:rsid w:val="326A47D9"/>
    <w:rsid w:val="326E42CA"/>
    <w:rsid w:val="32B36180"/>
    <w:rsid w:val="32CE4D68"/>
    <w:rsid w:val="33A37FA3"/>
    <w:rsid w:val="33B57CD6"/>
    <w:rsid w:val="33EC3AC1"/>
    <w:rsid w:val="34445A97"/>
    <w:rsid w:val="354C01C6"/>
    <w:rsid w:val="36653C36"/>
    <w:rsid w:val="375A306E"/>
    <w:rsid w:val="37903C5D"/>
    <w:rsid w:val="387D5BBB"/>
    <w:rsid w:val="3A616DC2"/>
    <w:rsid w:val="3AD62A0C"/>
    <w:rsid w:val="3C137C90"/>
    <w:rsid w:val="3C9C5ED7"/>
    <w:rsid w:val="3CE112E9"/>
    <w:rsid w:val="3D6562C9"/>
    <w:rsid w:val="3DEE62BF"/>
    <w:rsid w:val="3E693B97"/>
    <w:rsid w:val="3F310B59"/>
    <w:rsid w:val="3FA5236A"/>
    <w:rsid w:val="3FC714BD"/>
    <w:rsid w:val="401F30A7"/>
    <w:rsid w:val="405F5252"/>
    <w:rsid w:val="40DC5EB3"/>
    <w:rsid w:val="417B60BB"/>
    <w:rsid w:val="418F295E"/>
    <w:rsid w:val="41BD2A54"/>
    <w:rsid w:val="41CC63F5"/>
    <w:rsid w:val="41D83BF0"/>
    <w:rsid w:val="420F3709"/>
    <w:rsid w:val="4269685C"/>
    <w:rsid w:val="42F223AD"/>
    <w:rsid w:val="432960D8"/>
    <w:rsid w:val="434A3F97"/>
    <w:rsid w:val="43572B58"/>
    <w:rsid w:val="436037BB"/>
    <w:rsid w:val="43CA332A"/>
    <w:rsid w:val="44634843"/>
    <w:rsid w:val="4476710B"/>
    <w:rsid w:val="44F92119"/>
    <w:rsid w:val="4594599D"/>
    <w:rsid w:val="45A86844"/>
    <w:rsid w:val="470703F1"/>
    <w:rsid w:val="478F7FE8"/>
    <w:rsid w:val="47F409A8"/>
    <w:rsid w:val="495A6EFE"/>
    <w:rsid w:val="49600605"/>
    <w:rsid w:val="49957F36"/>
    <w:rsid w:val="49CA7BE0"/>
    <w:rsid w:val="4A2319E6"/>
    <w:rsid w:val="4A2B43F6"/>
    <w:rsid w:val="4A633B90"/>
    <w:rsid w:val="4A934476"/>
    <w:rsid w:val="4B1A06F3"/>
    <w:rsid w:val="4B3F0159"/>
    <w:rsid w:val="4B4E4840"/>
    <w:rsid w:val="4B5160DF"/>
    <w:rsid w:val="4B553E21"/>
    <w:rsid w:val="4BF947AC"/>
    <w:rsid w:val="4C172E84"/>
    <w:rsid w:val="4CEF0F46"/>
    <w:rsid w:val="4D700A9E"/>
    <w:rsid w:val="4D93478D"/>
    <w:rsid w:val="4DC51B47"/>
    <w:rsid w:val="4DF0398D"/>
    <w:rsid w:val="4E0B6A19"/>
    <w:rsid w:val="4E260F79"/>
    <w:rsid w:val="4E4837C9"/>
    <w:rsid w:val="4E5B174E"/>
    <w:rsid w:val="4EC512BE"/>
    <w:rsid w:val="4ECF7A46"/>
    <w:rsid w:val="4F1A3C82"/>
    <w:rsid w:val="4F4E005F"/>
    <w:rsid w:val="4F4F0BC5"/>
    <w:rsid w:val="504306EC"/>
    <w:rsid w:val="51850890"/>
    <w:rsid w:val="521A722A"/>
    <w:rsid w:val="527E56BC"/>
    <w:rsid w:val="52974D1F"/>
    <w:rsid w:val="52B256B5"/>
    <w:rsid w:val="52EA0CD9"/>
    <w:rsid w:val="532337DD"/>
    <w:rsid w:val="543413C9"/>
    <w:rsid w:val="54752E3E"/>
    <w:rsid w:val="549459BA"/>
    <w:rsid w:val="54D24AD1"/>
    <w:rsid w:val="54DE6C35"/>
    <w:rsid w:val="555A1668"/>
    <w:rsid w:val="559A5241"/>
    <w:rsid w:val="564D5FD7"/>
    <w:rsid w:val="56867584"/>
    <w:rsid w:val="56AB4376"/>
    <w:rsid w:val="571547A3"/>
    <w:rsid w:val="572C3252"/>
    <w:rsid w:val="574511ED"/>
    <w:rsid w:val="57BC11D4"/>
    <w:rsid w:val="57BE68AA"/>
    <w:rsid w:val="57D45CF1"/>
    <w:rsid w:val="57FD73D2"/>
    <w:rsid w:val="590F5946"/>
    <w:rsid w:val="591E3AA4"/>
    <w:rsid w:val="59790D96"/>
    <w:rsid w:val="59861649"/>
    <w:rsid w:val="59C032B8"/>
    <w:rsid w:val="59C97EB4"/>
    <w:rsid w:val="5A010C64"/>
    <w:rsid w:val="5AF6756E"/>
    <w:rsid w:val="5BBD3A7B"/>
    <w:rsid w:val="5BC10F28"/>
    <w:rsid w:val="5BD37A87"/>
    <w:rsid w:val="5CF05758"/>
    <w:rsid w:val="5D107BA8"/>
    <w:rsid w:val="5D543F38"/>
    <w:rsid w:val="5D55380D"/>
    <w:rsid w:val="5D700646"/>
    <w:rsid w:val="5DD5494D"/>
    <w:rsid w:val="5DED1C97"/>
    <w:rsid w:val="5DF272AD"/>
    <w:rsid w:val="5E251431"/>
    <w:rsid w:val="5E6261E1"/>
    <w:rsid w:val="5E6D09FC"/>
    <w:rsid w:val="5EE25574"/>
    <w:rsid w:val="5EFB20EA"/>
    <w:rsid w:val="60341DFF"/>
    <w:rsid w:val="60602D0F"/>
    <w:rsid w:val="609603C4"/>
    <w:rsid w:val="60996106"/>
    <w:rsid w:val="60E6759D"/>
    <w:rsid w:val="60F135E1"/>
    <w:rsid w:val="6142054C"/>
    <w:rsid w:val="61442516"/>
    <w:rsid w:val="615C160D"/>
    <w:rsid w:val="61722BDF"/>
    <w:rsid w:val="61761FA3"/>
    <w:rsid w:val="618C41AC"/>
    <w:rsid w:val="61994610"/>
    <w:rsid w:val="61B63755"/>
    <w:rsid w:val="61D54F1C"/>
    <w:rsid w:val="61F950AE"/>
    <w:rsid w:val="623065F6"/>
    <w:rsid w:val="628C5F22"/>
    <w:rsid w:val="63416E40"/>
    <w:rsid w:val="63E019C2"/>
    <w:rsid w:val="64597F3B"/>
    <w:rsid w:val="64616F3B"/>
    <w:rsid w:val="647C3D75"/>
    <w:rsid w:val="65134704"/>
    <w:rsid w:val="651D5558"/>
    <w:rsid w:val="65366619"/>
    <w:rsid w:val="654523B9"/>
    <w:rsid w:val="658C7FE7"/>
    <w:rsid w:val="66CA526B"/>
    <w:rsid w:val="67193AFD"/>
    <w:rsid w:val="6759214B"/>
    <w:rsid w:val="67A27F96"/>
    <w:rsid w:val="67AE2914"/>
    <w:rsid w:val="6853303E"/>
    <w:rsid w:val="68882CE8"/>
    <w:rsid w:val="698536CB"/>
    <w:rsid w:val="699E02E9"/>
    <w:rsid w:val="69B813AB"/>
    <w:rsid w:val="6A2513CF"/>
    <w:rsid w:val="6A3C022E"/>
    <w:rsid w:val="6A696B49"/>
    <w:rsid w:val="6A9F07BD"/>
    <w:rsid w:val="6ADE12E5"/>
    <w:rsid w:val="6B016D82"/>
    <w:rsid w:val="6B1B42E7"/>
    <w:rsid w:val="6C4909E0"/>
    <w:rsid w:val="6C757DB4"/>
    <w:rsid w:val="6C922387"/>
    <w:rsid w:val="6CA9147F"/>
    <w:rsid w:val="6CD56718"/>
    <w:rsid w:val="6CF748E0"/>
    <w:rsid w:val="6DA305C4"/>
    <w:rsid w:val="6DB84617"/>
    <w:rsid w:val="6E182FDC"/>
    <w:rsid w:val="6EE64C0C"/>
    <w:rsid w:val="6F176B74"/>
    <w:rsid w:val="6F681FFE"/>
    <w:rsid w:val="6FD308AB"/>
    <w:rsid w:val="700A3B8F"/>
    <w:rsid w:val="70383246"/>
    <w:rsid w:val="712A18A5"/>
    <w:rsid w:val="716B31A7"/>
    <w:rsid w:val="71BB412E"/>
    <w:rsid w:val="72606A84"/>
    <w:rsid w:val="72850298"/>
    <w:rsid w:val="72E17BC5"/>
    <w:rsid w:val="73045661"/>
    <w:rsid w:val="735465E8"/>
    <w:rsid w:val="73F43927"/>
    <w:rsid w:val="741E2752"/>
    <w:rsid w:val="74AE7F7A"/>
    <w:rsid w:val="74BD01BD"/>
    <w:rsid w:val="75151DA7"/>
    <w:rsid w:val="754E0E15"/>
    <w:rsid w:val="75703144"/>
    <w:rsid w:val="759E3B4B"/>
    <w:rsid w:val="760D6F22"/>
    <w:rsid w:val="7641097A"/>
    <w:rsid w:val="768A2321"/>
    <w:rsid w:val="76FA74A7"/>
    <w:rsid w:val="770458AE"/>
    <w:rsid w:val="77B07B65"/>
    <w:rsid w:val="77EC6ADF"/>
    <w:rsid w:val="78061E7B"/>
    <w:rsid w:val="78C733B9"/>
    <w:rsid w:val="796F179C"/>
    <w:rsid w:val="797D616D"/>
    <w:rsid w:val="7A1A5D2B"/>
    <w:rsid w:val="7A6B246A"/>
    <w:rsid w:val="7A88301C"/>
    <w:rsid w:val="7AB636E5"/>
    <w:rsid w:val="7B7B70B2"/>
    <w:rsid w:val="7BE2675B"/>
    <w:rsid w:val="7C3F770A"/>
    <w:rsid w:val="7CEF1130"/>
    <w:rsid w:val="7D43447E"/>
    <w:rsid w:val="7D472D1A"/>
    <w:rsid w:val="7DD02D0F"/>
    <w:rsid w:val="7DF804B8"/>
    <w:rsid w:val="7E130E4E"/>
    <w:rsid w:val="7E622B65"/>
    <w:rsid w:val="7E77762F"/>
    <w:rsid w:val="7EE970E5"/>
    <w:rsid w:val="7EEC1DCB"/>
    <w:rsid w:val="7EFB0260"/>
    <w:rsid w:val="7F0C5FC9"/>
    <w:rsid w:val="7F4D6639"/>
    <w:rsid w:val="7F4E3E4C"/>
    <w:rsid w:val="7F7D2A23"/>
    <w:rsid w:val="7F820039"/>
    <w:rsid w:val="7FBA68E1"/>
    <w:rsid w:val="7FD4460D"/>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5">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note text"/>
    <w:basedOn w:val="1"/>
    <w:next w:val="1"/>
    <w:unhideWhenUsed/>
    <w:qFormat/>
    <w:uiPriority w:val="99"/>
    <w:pPr>
      <w:snapToGrid w:val="0"/>
      <w:spacing w:beforeLines="0" w:afterLines="0"/>
      <w:jc w:val="left"/>
    </w:pPr>
    <w:rPr>
      <w:rFonts w:hint="eastAsia" w:eastAsia="宋体"/>
      <w:sz w:val="20"/>
      <w:szCs w:val="24"/>
    </w:rPr>
  </w:style>
  <w:style w:type="paragraph" w:styleId="6">
    <w:name w:val="Normal Indent"/>
    <w:basedOn w:val="1"/>
    <w:next w:val="1"/>
    <w:qFormat/>
    <w:uiPriority w:val="0"/>
    <w:pPr>
      <w:ind w:firstLine="420" w:firstLineChars="200"/>
    </w:pPr>
  </w:style>
  <w:style w:type="paragraph" w:styleId="7">
    <w:name w:val="Plain Text"/>
    <w:basedOn w:val="1"/>
    <w:qFormat/>
    <w:uiPriority w:val="0"/>
    <w:rPr>
      <w:rFonts w:ascii="宋体" w:hAnsi="Courier New" w:eastAsia="宋体" w:cs="Courier New"/>
      <w:sz w:val="21"/>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8881</Words>
  <Characters>9066</Characters>
  <Lines>0</Lines>
  <Paragraphs>0</Paragraphs>
  <TotalTime>5</TotalTime>
  <ScaleCrop>false</ScaleCrop>
  <LinksUpToDate>false</LinksUpToDate>
  <CharactersWithSpaces>9079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2025-03-04T09:47:00Z</dcterms:created>
  <dc:creator>WPS_1717461302</dc:creator>
  <cp:lastModifiedBy>淼。</cp:lastModifiedBy>
  <cp:lastPrinted>2025-03-17T03:44:00Z</cp:lastPrinted>
  <dcterms:modified xsi:type="dcterms:W3CDTF">2025-03-19T10:25:49Z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608FF0AE290A4AB2B4E6EF2ACBE597E5_13</vt:lpwstr>
  </property>
  <property fmtid="{D5CDD505-2E9C-101B-9397-08002B2CF9AE}" pid="4" name="KSOTemplateDocerSaveRecord">
    <vt:lpwstr>eyJoZGlkIjoiYmM4ZjZmYmE1YWQ0ZTAxZWRkZmRkMmYzYWEyNzFkYTciLCJ1c2VySWQiOiIxMDEzMzc5MTIwIn0=</vt:lpwstr>
  </property>
</Properties>
</file>