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autoSpaceDE/>
        <w:bidi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甘州区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中小学生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校外托管机构管理办法（试行）</w:t>
      </w:r>
    </w:p>
    <w:p>
      <w:pPr>
        <w:pStyle w:val="2"/>
        <w:ind w:firstLine="3080" w:firstLineChars="700"/>
        <w:rPr>
          <w:rFonts w:hint="eastAsia" w:eastAsia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第一章 总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加强和</w:t>
      </w:r>
      <w:r>
        <w:rPr>
          <w:rFonts w:hint="eastAsia" w:ascii="仿宋_GB2312" w:hAnsi="仿宋_GB2312" w:eastAsia="仿宋_GB2312" w:cs="仿宋_GB2312"/>
          <w:sz w:val="32"/>
          <w:szCs w:val="40"/>
        </w:rPr>
        <w:t>规范本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中小学生</w:t>
      </w:r>
      <w:r>
        <w:rPr>
          <w:rFonts w:hint="eastAsia" w:ascii="仿宋_GB2312" w:hAnsi="仿宋_GB2312" w:eastAsia="仿宋_GB2312" w:cs="仿宋_GB2312"/>
          <w:sz w:val="32"/>
          <w:szCs w:val="40"/>
        </w:rPr>
        <w:t>校外托管机构（以下简称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校外</w:t>
      </w:r>
      <w:r>
        <w:rPr>
          <w:rFonts w:hint="eastAsia" w:ascii="仿宋_GB2312" w:hAnsi="仿宋_GB2312" w:eastAsia="仿宋_GB2312" w:cs="仿宋_GB2312"/>
          <w:sz w:val="32"/>
          <w:szCs w:val="40"/>
        </w:rPr>
        <w:t>托管机构）的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经营</w:t>
      </w:r>
      <w:r>
        <w:rPr>
          <w:rFonts w:hint="eastAsia" w:ascii="仿宋_GB2312" w:hAnsi="仿宋_GB2312" w:eastAsia="仿宋_GB2312" w:cs="仿宋_GB2312"/>
          <w:sz w:val="32"/>
          <w:szCs w:val="40"/>
        </w:rPr>
        <w:t>管理，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保障托管</w:t>
      </w:r>
      <w:r>
        <w:rPr>
          <w:rFonts w:hint="eastAsia" w:ascii="仿宋_GB2312" w:hAnsi="仿宋_GB2312" w:eastAsia="仿宋_GB2312" w:cs="仿宋_GB2312"/>
          <w:sz w:val="32"/>
          <w:szCs w:val="40"/>
        </w:rPr>
        <w:t>学生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40"/>
        </w:rPr>
        <w:t>健康和安全，根据《中华人民共和国食品安全法》《中华人民共和国传染病防治法》《中华人民共和国消防法》《中华人民共和国治安管理处罚法》《公共场所卫生管理条例》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《中华人民共和国未成年人保护法》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《关于进一步加强农家乐和校外托管机构(小饭桌)安全生产监管工作的通知》（甘市监发〔2022〕277号）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40"/>
        </w:rPr>
        <w:t>法律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40"/>
        </w:rPr>
        <w:t>法规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、规章以及省、市、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40"/>
        </w:rPr>
        <w:t>规定，结合本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40"/>
        </w:rPr>
        <w:t>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在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甘州区</w:t>
      </w:r>
      <w:r>
        <w:rPr>
          <w:rFonts w:hint="eastAsia" w:ascii="仿宋_GB2312" w:hAnsi="仿宋_GB2312" w:eastAsia="仿宋_GB2312" w:cs="仿宋_GB2312"/>
          <w:sz w:val="32"/>
          <w:szCs w:val="40"/>
        </w:rPr>
        <w:t>行政区域内从事校外托管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机构经营</w:t>
      </w:r>
      <w:r>
        <w:rPr>
          <w:rFonts w:hint="eastAsia" w:ascii="仿宋_GB2312" w:hAnsi="仿宋_GB2312" w:eastAsia="仿宋_GB2312" w:cs="仿宋_GB2312"/>
          <w:sz w:val="32"/>
          <w:szCs w:val="40"/>
        </w:rPr>
        <w:t>活动，适</w:t>
      </w:r>
      <w:r>
        <w:rPr>
          <w:rFonts w:hint="eastAsia" w:ascii="仿宋_GB2312" w:hAnsi="仿宋_GB2312" w:eastAsia="仿宋_GB2312" w:cs="仿宋_GB2312"/>
          <w:sz w:val="32"/>
          <w:szCs w:val="32"/>
        </w:rPr>
        <w:t>用本办法。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本办法所称</w:t>
      </w:r>
      <w:r>
        <w:rPr>
          <w:rFonts w:hint="eastAsia" w:ascii="仿宋_GB2312" w:hAnsi="仿宋_GB2312" w:eastAsia="仿宋_GB2312" w:cs="仿宋_GB2312"/>
          <w:sz w:val="32"/>
          <w:szCs w:val="32"/>
        </w:rPr>
        <w:t>中小学生</w:t>
      </w:r>
      <w:r>
        <w:rPr>
          <w:rFonts w:hint="eastAsia" w:ascii="仿宋_GB2312" w:hAnsi="仿宋_GB2312" w:eastAsia="仿宋_GB2312" w:cs="仿宋_GB2312"/>
          <w:sz w:val="32"/>
          <w:szCs w:val="40"/>
        </w:rPr>
        <w:t>校外托管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40"/>
        </w:rPr>
        <w:t>是指由自然人、法人或非法人组织在学校外开办的，在非教学时段为中小学生提供就餐、午休、</w:t>
      </w:r>
      <w:r>
        <w:rPr>
          <w:rFonts w:hint="eastAsia" w:ascii="仿宋_GB2312" w:hAnsi="仿宋_GB2312" w:eastAsia="仿宋_GB2312" w:cs="仿宋_GB2312"/>
          <w:sz w:val="32"/>
          <w:szCs w:val="32"/>
        </w:rPr>
        <w:t>看管等课后托管服务的机构。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校外</w:t>
      </w:r>
      <w:r>
        <w:rPr>
          <w:rFonts w:hint="eastAsia" w:ascii="仿宋_GB2312" w:hAnsi="仿宋_GB2312" w:eastAsia="仿宋_GB2312" w:cs="仿宋_GB2312"/>
          <w:sz w:val="32"/>
          <w:szCs w:val="32"/>
        </w:rPr>
        <w:t>托管机构不得开展学前教育及其他文化教育培训和学习辅导活动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从事与托管活动无关的其他业务。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校外托管机构开展教育培训活动的，按照校外培训机构的有关规定执行。</w:t>
      </w:r>
    </w:p>
    <w:p>
      <w:pPr>
        <w:pStyle w:val="2"/>
        <w:keepNext w:val="0"/>
        <w:keepLines w:val="0"/>
        <w:pageBreakBefore w:val="0"/>
        <w:kinsoku/>
        <w:wordWrap/>
        <w:autoSpaceDE/>
        <w:bidi w:val="0"/>
        <w:spacing w:line="560" w:lineRule="exact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第四条  校外托管机构开办者是安全管理的第一责任人，房屋出租者负有督促房屋租赁者做好校外托管机构安全的管理责任。校外托管机构应自觉接受家长和社会的监督。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第五条  </w:t>
      </w:r>
      <w:r>
        <w:rPr>
          <w:rFonts w:hint="eastAsia" w:ascii="仿宋_GB2312" w:hAnsi="仿宋_GB2312" w:eastAsia="仿宋_GB2312" w:cs="仿宋_GB2312"/>
          <w:sz w:val="32"/>
          <w:szCs w:val="32"/>
        </w:rPr>
        <w:t>校外托管机构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监管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实行政府统一领导、部门分工负责、属地管理的原则。市场监管、教育、卫健、公安、消防、住建、</w:t>
      </w:r>
      <w:r>
        <w:rPr>
          <w:rFonts w:hint="eastAsia" w:ascii="仿宋_GB2312" w:hAnsi="仿宋_GB2312" w:eastAsia="仿宋_GB2312" w:cs="仿宋_GB2312"/>
          <w:sz w:val="32"/>
          <w:szCs w:val="40"/>
        </w:rPr>
        <w:t>城市管理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乡镇街道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等部门在本级人民政府的领导下，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依照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法律、法规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、规章</w:t>
      </w:r>
      <w:r>
        <w:rPr>
          <w:rFonts w:hint="eastAsia" w:ascii="仿宋_GB2312" w:hAnsi="仿宋_GB2312" w:eastAsia="仿宋_GB2312" w:cs="仿宋_GB2312"/>
          <w:sz w:val="32"/>
          <w:szCs w:val="32"/>
        </w:rPr>
        <w:t>和本办法，在各自职责范围内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依法履行对校外托管机构的安全监管</w:t>
      </w:r>
      <w:r>
        <w:rPr>
          <w:rFonts w:hint="eastAsia" w:ascii="仿宋_GB2312" w:hAnsi="仿宋_GB2312" w:eastAsia="仿宋_GB2312" w:cs="仿宋_GB2312"/>
          <w:sz w:val="32"/>
          <w:szCs w:val="32"/>
        </w:rPr>
        <w:t>及投诉信访工作。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市场监管部门负责校外托管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的统筹协调工作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定期组织相关部门对校外托管机构开展联合检查，对全区范围内的校外托管机构基本情况进行调查摸底，建档立卡</w:t>
      </w:r>
      <w:r>
        <w:rPr>
          <w:rFonts w:hint="eastAsia" w:ascii="仿宋_GB2312" w:hAnsi="仿宋_GB2312" w:eastAsia="仿宋_GB2312" w:cs="仿宋_GB2312"/>
          <w:sz w:val="32"/>
          <w:szCs w:val="32"/>
        </w:rPr>
        <w:t>。负责营利性校外托管机构的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经营主体</w:t>
      </w:r>
      <w:r>
        <w:rPr>
          <w:rFonts w:hint="eastAsia" w:ascii="仿宋_GB2312" w:hAnsi="仿宋_GB2312" w:eastAsia="仿宋_GB2312" w:cs="仿宋_GB2312"/>
          <w:sz w:val="32"/>
          <w:szCs w:val="32"/>
        </w:rPr>
        <w:t>登记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食品经营许可，食品日常监督管理，严厉查处校外托管机构食品安全违法违规行为，涉嫌犯罪的，及时移交公安机关处理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教育部门负责加强托管学生安全宣传教育，引导学生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家长</w:t>
      </w:r>
      <w:r>
        <w:rPr>
          <w:rFonts w:hint="eastAsia" w:ascii="仿宋_GB2312" w:hAnsi="仿宋_GB2312" w:eastAsia="仿宋_GB2312" w:cs="仿宋_GB2312"/>
          <w:sz w:val="32"/>
          <w:szCs w:val="32"/>
        </w:rPr>
        <w:t>选择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依法许可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校外托管机构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查处在校外托管机构违规从事校外培训和有偿教育辅导行为，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并配合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市场监管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校外托管机构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卫生健康部门负责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校外托管机构的公共卫生管理、病媒生物防制、饮用水健康达标监测、传染病防控管理等工作。对校外托管机构卫生条件和传染病预防、控制措施进行监督检查。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公安部门负责校外托管场所及其周边环境的治安监督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配合市场监管部门做好监督检查工作，对违规经营涉嫌违法犯罪的，按照相关法律法规依法查处。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住房和城乡建设部门负责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校外托管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机构的房屋安全、燃气使用安全进行监督管理。依法实施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相关消防设计审查、消防验收或者备案。依法查处违反法律法规擅自变更建筑用途从事托管服务的行为。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城市管理部门负责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依法</w:t>
      </w:r>
      <w:r>
        <w:rPr>
          <w:rFonts w:hint="eastAsia" w:ascii="仿宋_GB2312" w:hAnsi="仿宋_GB2312" w:eastAsia="仿宋_GB2312" w:cs="仿宋_GB2312"/>
          <w:sz w:val="32"/>
          <w:szCs w:val="32"/>
        </w:rPr>
        <w:t>查处校外托管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机构违法设置的</w:t>
      </w:r>
      <w:r>
        <w:rPr>
          <w:rFonts w:hint="eastAsia" w:ascii="仿宋_GB2312" w:hAnsi="仿宋_GB2312" w:eastAsia="仿宋_GB2312" w:cs="仿宋_GB2312"/>
          <w:sz w:val="32"/>
          <w:szCs w:val="32"/>
        </w:rPr>
        <w:t>户外广告设施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指导、监督各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镇街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依法查处托管机</w:t>
      </w:r>
      <w:r>
        <w:rPr>
          <w:rFonts w:hint="eastAsia" w:ascii="仿宋_GB2312" w:hAnsi="仿宋_GB2312" w:eastAsia="仿宋_GB2312" w:cs="仿宋_GB2312"/>
          <w:sz w:val="32"/>
          <w:szCs w:val="40"/>
        </w:rPr>
        <w:t>构违法搭建、加建、扩建行为。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消防部门负责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定期</w:t>
      </w:r>
      <w:r>
        <w:rPr>
          <w:rFonts w:hint="eastAsia" w:ascii="仿宋_GB2312" w:hAnsi="仿宋_GB2312" w:eastAsia="仿宋_GB2312" w:cs="仿宋_GB2312"/>
          <w:sz w:val="32"/>
          <w:szCs w:val="40"/>
        </w:rPr>
        <w:t>对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校外</w:t>
      </w:r>
      <w:r>
        <w:rPr>
          <w:rFonts w:hint="eastAsia" w:ascii="仿宋_GB2312" w:hAnsi="仿宋_GB2312" w:eastAsia="仿宋_GB2312" w:cs="仿宋_GB2312"/>
          <w:sz w:val="32"/>
          <w:szCs w:val="40"/>
        </w:rPr>
        <w:t>托管机构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消防安全管理情况进行联合检查，依法对校外托管机构进行消防监督抽查，督促开办者落实消防安全主体责任。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章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申办程序及经营许可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公民、法人或者其他组织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设立校外托管机构，应当依法办理经营主体登记。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申请从事</w:t>
      </w:r>
      <w:r>
        <w:rPr>
          <w:rFonts w:hint="eastAsia" w:ascii="仿宋_GB2312" w:hAnsi="仿宋_GB2312" w:eastAsia="仿宋_GB2312" w:cs="仿宋_GB2312"/>
          <w:sz w:val="32"/>
          <w:szCs w:val="32"/>
        </w:rPr>
        <w:t>校外托管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服务的经营单位办理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营业执照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时，应提供以下材料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（一）具有与开办规模相适应的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场所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从业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人员，主要负责人具备独立承担民事责任的能力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负责人身份证原件和复印件；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管服务的场所必须要有合法使用证明或产权证明、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营业用房安全鉴定报告(或房屋验收合格证明)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。自建房还应有房屋竣工验收合格</w:t>
      </w:r>
      <w:r>
        <w:rPr>
          <w:rFonts w:hint="eastAsia" w:ascii="仿宋_GB2312" w:hAnsi="仿宋_GB2312" w:eastAsia="仿宋_GB2312" w:cs="仿宋_GB2312"/>
          <w:spacing w:val="-11"/>
          <w:kern w:val="2"/>
          <w:sz w:val="32"/>
          <w:szCs w:val="32"/>
          <w:lang w:val="en-US" w:eastAsia="zh-CN" w:bidi="ar-SA"/>
        </w:rPr>
        <w:t>或房屋安全鉴定合格有关材料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）取得由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住建部门出</w:t>
      </w:r>
      <w:r>
        <w:rPr>
          <w:rFonts w:hint="eastAsia" w:ascii="仿宋_GB2312" w:hAnsi="仿宋_GB2312" w:eastAsia="仿宋_GB2312" w:cs="仿宋_GB2312"/>
          <w:sz w:val="32"/>
          <w:szCs w:val="32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的施工许可证、消防验收备案等手续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）从业人员健康合格证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明、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相关业务培训合格证明、无犯罪记录信息核查证明(公安部门核查提供为准)；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）安全责任承诺书。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新办校外托管机构，由市场监管部门牵头，多部门联合验收合格后方可核发营业执照；托管机构的登记事项需要变更的，应当依法到原登记机关办理相应的变更事项。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70" w:firstLineChars="8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3" w:firstLineChars="10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日常管理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第九条  校外托管机构经营者为其经营范围内学生消防安全、食品安全、人身安全、传染病防治的第一责任人，应严格遵守相关法律法规政策规定，建立托管学生信息档案，对学生安全负责，接受社会和家长监督。</w:t>
      </w:r>
    </w:p>
    <w:p>
      <w:pPr>
        <w:keepNext w:val="0"/>
        <w:keepLines w:val="0"/>
        <w:pageBreakBefore w:val="0"/>
        <w:kinsoku/>
        <w:wordWrap/>
        <w:autoSpaceDE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第十条  校外托管机构应当加强消防安全管理，并依法履行以下消防安全管理责任：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（一）制定用火、用电、用油、用燃气等消防安全管理制度、操作规程以及灭火和应急疏散预案；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（二）按照国家标准、行业标准配置消防设施、器材，并定期组织检验、维修，确保完好有效；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（三）保证疏散通道畅通，不得占用、堵塞、锁闭疏散通道、安全出口或者有其他妨碍安全疏散的行为；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（四）组织防火检查，及时消除隐患；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（五）加强对工作人员的消防宣传教育；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法律、法规、规章和规范性文件规定的其他要求。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第十一条  校外托管机构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应建立“人防、物防、技防”三位一体的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安全防范体系，实现视频监控全覆盖，且监控记录的存储时间不少于30天。依法履行以下安全保障职责：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建立健全食品、卫生、消防、治安等安全管理制度，并在经营场所内公示。配备专职或兼职安全管理人员，定期对安防设施进行检测维修，安排专人接送托管学生，保障学生放学后到校外托管机构及午托后返校的安全，履行保障学生安全义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（二）在约定时间未接到托管学生的，立即通知学生监护人和学生所在学校并积极寻找；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（三）学生托管期间应当始终有工作人员照看；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法律、法规、规章和规范性文件规定的其他要求。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第十二条  校外托管机构依法履行以下传染病防控职责：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（一）配齐配足学生生活、住宿的符合卫生标准的消毒、洗手等设施设备，使用的洗涤剂、消毒剂应当对人体安全、无害；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（二）校外托管场所内按规定进行消毒，并有消毒记录，室内空气符合《室内空气质量标准》；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（三）建立健全传染病防控工作制度及应急预案。发现传染病病人或者疑似传染病病人时，应当及时向所在地的疾病预防控制机构或者医疗机构报告；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法律、法规、规章和规范性文件规定的其他要求。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校外托管机构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经营者应当建立食品、其他食源性疾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等突发安全事件的应急处理机制。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校外托管机构发生食物中毒、传染病及其他突发卫生事件，应当及时采取措施，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立即停止经营活动，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防止事态扩大，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向所在地市场监管或卫生健康部门报告，并通知学生监护人。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校外托管机构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经营者应当加强对托管学生的日常管护，防止学生在托管场所及周边嬉戏、噪音扰民。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应当预防和避免学生间欺凌、打斗等伤害事件，依法保护托管学生身心不受伤害。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校外托管机构应当与托管学生监护人签订托管服务委托协议，明确委托期限、收费标准、双方权利义务以及违约责任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并在经营场所公示收费项目及标准。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校外托管机构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为学生购买人身意外伤害保险等商业保险，分散托管期间的各种风险。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9" w:firstLineChars="7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9" w:firstLineChars="7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场所标准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和服务要求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第十七条  </w:t>
      </w:r>
      <w:r>
        <w:rPr>
          <w:rFonts w:hint="eastAsia" w:ascii="仿宋_GB2312" w:hAnsi="仿宋_GB2312" w:eastAsia="仿宋_GB2312" w:cs="仿宋_GB2312"/>
          <w:sz w:val="32"/>
          <w:szCs w:val="32"/>
        </w:rPr>
        <w:t>校外托管机构应当符合以下基本的消防技术标准要求：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消防设计要求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校外托管机构消防设计按照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国家消防技术标准中有关公共建筑（儿童活动场所）的要求执行。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建设工程消防设计应包括平面布置、建筑构造、安全疏散、内部装修、消防设施设置等方面内容，对于新建建筑还应包括总平面布局、耐火等级、灭火救援设施、消防用电及电气防火等内容。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　（二）场所设置要求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应当设置在不低于二级耐火等级的建筑内，与建筑周边消防车道的距离不得超过50米，场所周边150米内应有一个市政消火栓；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校外托管机构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的场所</w:t>
      </w:r>
      <w:r>
        <w:rPr>
          <w:rFonts w:hint="eastAsia" w:ascii="仿宋_GB2312" w:hAnsi="仿宋_GB2312" w:eastAsia="仿宋_GB2312" w:cs="仿宋_GB2312"/>
          <w:sz w:val="32"/>
          <w:szCs w:val="32"/>
        </w:rPr>
        <w:t>与其他使用功能场所之间采用不开门窗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洞口的实体墙与其他功能分隔，且至少有1个安全出口和疏散楼梯独立设置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设置厨房的，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应与就餐场所、住宿场所独立设置。</w:t>
      </w:r>
      <w:r>
        <w:rPr>
          <w:rFonts w:hint="eastAsia" w:ascii="仿宋_GB2312" w:hAnsi="仿宋_GB2312" w:eastAsia="仿宋_GB2312" w:cs="仿宋_GB2312"/>
          <w:sz w:val="32"/>
          <w:szCs w:val="32"/>
        </w:rPr>
        <w:t>应采取耐火极限不低于2小时的不燃烧体隔墙与其他部位分隔，墙上门、窗应采用乙级以上防火门、窗。设置在高层建筑内时，使用可燃气体燃料应采用管道供气，使用可燃气体的房间或部位宜靠外墙设置，并应符合国家标准《城镇燃气设计规范》（GB50028-2006）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（三）安全疏散要求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各房间的疏散门不少于2个。位于两个安全出口之间或袋形走道两侧的房间，当其建筑面积不超过50平方米时，可设置一个疏散门。相邻2个疏散门最近边缘之间的水平距离不应小于5米；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疏散门的净宽不应小于0.9米，疏散走道的净宽度不应小于1.1米；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疏散门不应设置门槛，且紧靠门口内外1.4米范围不应设置踏步；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不得在窗口、阳台等部位设置防盗网影响逃生和灭火救援的障碍物，确需设置的，应在内部设置易于开启的装置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（四）消防设施设置要求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1.根据建筑规模和性质按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照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消防技术标准的要求设置消防设施。按规定不需设置室内消火栓系统的托管场所，每层应设置不少于1个消防软管卷盘。按规定不需设置火灾自动报警系统的，应设置独立式感烟火灾探测器及手动报警装置。按规定不需要设置自动喷水灭火系统的，应设置简易喷淋。疏散通道及其转角处距地面高度1.0米以下的墙面或地面上应配置灯光疏散指示标志；安全出口、疏散门的正上方应设置“安全出口”标志，疏散走道、楼梯间应设置消防应急照明灯，且地面最低水平照度不应低于5.0Lx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消防产品应当符合国家标准，禁止使用不合格的消防产品和国家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</w:t>
      </w:r>
      <w:r>
        <w:rPr>
          <w:rFonts w:hint="eastAsia" w:ascii="仿宋_GB2312" w:hAnsi="仿宋_GB2312" w:eastAsia="仿宋_GB2312" w:cs="仿宋_GB2312"/>
          <w:sz w:val="32"/>
          <w:szCs w:val="32"/>
        </w:rPr>
        <w:t>令淘汰的消防产品。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（五）装修材料要求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不得使用可燃、易燃材料和有毒材料进行装修，装修材料必须使用不燃、难燃材料并符合《建筑内部装修防火施工及验收规范》（GB50354-2005）的要求。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（六）其它相关规定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《建筑设计防火规范》（GB50016-2014，2018 年版）、《建筑内部装修设计防火规范（GB50222-2017）》、《建筑灭火器配置设计规范》（GB50140-2005）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校外培训机构消防安全管理九项规定》等国家现行建设标准规范的相关规定。厨房还应符合《城镇燃气设计规范》（GB50028-2006）的相关规定。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以上所述技术规范和标准，如遇国家政策调整，应执行最新颁布的技术规范和标准。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条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校外托管机构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应当符合以下食品安全标准及基本要求：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取得由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市场监管局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核发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食品经营许可证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食品加工经营场所和设备设施应当符合食品经营许可要求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（三）加工制作用水的水质应符合《生活饮用水卫生标准》（GB5749-2022）规定；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采购食品及食品原料要严格执行国家有关食品索证索票管理的规定，专人负责、定点采购，并做好采购记录。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（五）食品添加剂应做到“五专”管理（专人采购、专柜存放、专人负责、专用工具、专用台账）;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（六）应按《餐饮服务食品安全操作规范》要求烹饪食品，禁止制作凉菜；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（七）留样食品由专人负责留取和保管，应将留样食品按照品种分别盛放于清洗消毒后的留样盒内，在留样柜中0℃-8℃冷藏存放48小时，每个品种的留样量不少于125g；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（八）校外托管场所实施“互联网+明厨亮灶”智慧监管，学生家长借助“互联网+明厨亮灶”，参与校外托管机构食品安全的监督；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第十九条  校外托管机构应当符合以下基本的公共卫生安全标准及要求。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（一）床上用品（床单、被套、枕巾）要定期清洗消毒；水杯每天清洗消毒，消毒后的水杯存放于保洁柜内；毛巾要做到每人一条，有标识；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（二）提供午休服务的校外托管机构，男、女生住宿要各自独立，不得男女生同处一室，门口应有明确标识；每室居住人数最多不得超过6人，人均使用面积不应小于5平方米；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应保证1人1床，床铺不得高于两层，上铺要设有符合安全要求的防护栏；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两个单床长边之间的距离不能小于0.6米，两排床或床与墙之间的走道宽度不应小于1.2米；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不得设置通铺、地铺；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（三）校外托管场所设有水冲式卫生间；</w:t>
      </w:r>
    </w:p>
    <w:p>
      <w:pPr>
        <w:pStyle w:val="2"/>
        <w:keepNext w:val="0"/>
        <w:keepLines w:val="0"/>
        <w:pageBreakBefore w:val="0"/>
        <w:kinsoku/>
        <w:wordWrap/>
        <w:autoSpaceDE/>
        <w:bidi w:val="0"/>
        <w:spacing w:line="560" w:lineRule="exac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法律、法规、规章和规范性文件规定的其他要求。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第二十条  校外托管机构应当符合以下基本的建筑安全标准及要求。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（一）经营场所</w:t>
      </w:r>
      <w:r>
        <w:rPr>
          <w:rFonts w:hint="eastAsia" w:ascii="仿宋_GB2312" w:hAnsi="仿宋_GB2312" w:eastAsia="仿宋_GB2312" w:cs="仿宋_GB2312"/>
          <w:sz w:val="32"/>
          <w:szCs w:val="32"/>
        </w:rPr>
        <w:t>设置在建筑的1-3层，不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得</w:t>
      </w:r>
      <w:r>
        <w:rPr>
          <w:rFonts w:hint="eastAsia" w:ascii="仿宋_GB2312" w:hAnsi="仿宋_GB2312" w:eastAsia="仿宋_GB2312" w:cs="仿宋_GB2312"/>
          <w:sz w:val="32"/>
          <w:szCs w:val="32"/>
        </w:rPr>
        <w:t>设置在地下1层及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地上三层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托管场所建筑面积应与托管学生人数相适应，托管学生人均建筑面积不得小于5平方米；</w:t>
      </w:r>
      <w:r>
        <w:rPr>
          <w:rFonts w:hint="eastAsia" w:ascii="仿宋_GB2312" w:hAnsi="仿宋_GB2312" w:eastAsia="仿宋_GB2312" w:cs="仿宋_GB2312"/>
          <w:sz w:val="32"/>
          <w:szCs w:val="32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不得与生产、经营、储存、使用危险化学品同在一栋建筑内，禁止在地下室、仓储建筑、污染区、危险区等场所提供托管服务，</w:t>
      </w:r>
      <w:r>
        <w:rPr>
          <w:rFonts w:hint="eastAsia" w:ascii="仿宋_GB2312" w:hAnsi="仿宋_GB2312" w:eastAsia="仿宋_GB2312" w:cs="仿宋_GB2312"/>
          <w:sz w:val="32"/>
          <w:szCs w:val="40"/>
        </w:rPr>
        <w:t>不得违规加层加建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防护栏杆高度不应低于1.2米，必须采用防止少年儿童攀登的构造，当采用垂直杆件做栏杆时，其杆件净距不应大于0.11米。</w:t>
      </w:r>
    </w:p>
    <w:p>
      <w:pPr>
        <w:pStyle w:val="2"/>
        <w:keepNext w:val="0"/>
        <w:keepLines w:val="0"/>
        <w:pageBreakBefore w:val="0"/>
        <w:kinsoku/>
        <w:wordWrap/>
        <w:autoSpaceDE/>
        <w:bidi w:val="0"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法律、法规、规章和规范性文件规定的其他要求。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条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校外托管机构从业人员应当符合以下基本要求：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（一）校外托管机构从业人员数量应与接受托管学生人数相匹配；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应当无犯罪记录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身体健康，没有精神性疾病、传染性疾病或者其他可能影响学生健康与安全的疾病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应当依法取得健康证明后方可上岗，并每年进行健康检查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autoSpaceDE/>
        <w:bidi w:val="0"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有精神病史、吸毒史、暴力倾向、虐待行为的人员以及曾有食品安全犯罪、猥亵、强奸等犯罪记录的人员不得从事校外托管机构经营；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（四）法律、法规、规章和规范性文件规定的其他要求。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213" w:firstLineChars="10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第五章  监督管理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二十二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建立部门联动机制。由市场监管部门牵头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教育、卫健、公安、住建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消防、城市管理、乡镇街道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等部门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配合</w:t>
      </w:r>
      <w:r>
        <w:rPr>
          <w:rFonts w:hint="eastAsia" w:ascii="仿宋_GB2312" w:hAnsi="仿宋_GB2312" w:eastAsia="仿宋_GB2312" w:cs="仿宋_GB2312"/>
          <w:sz w:val="32"/>
          <w:szCs w:val="32"/>
        </w:rPr>
        <w:t>，每学期组织开展本行政区域内的联合执法检查，对发现的违法违规经营行为，依据相应法律法规给予行政处罚；涉嫌犯罪的，依法移送司法机关处理。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第二十三条  相关职能部门应当按照“应纳尽纳”“能联尽联”原则，将校外托管机构监管纳入到“双随机、一公开”监管事项中。对有严重不良信用记录的校外托管机构增加检查的频次和力度，实施重点监管。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第二十四条  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加强日常巡查。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各乡镇街道社区</w:t>
      </w:r>
      <w:r>
        <w:rPr>
          <w:rFonts w:hint="eastAsia" w:ascii="仿宋_GB2312" w:hAnsi="仿宋_GB2312" w:eastAsia="仿宋_GB2312" w:cs="仿宋_GB2312"/>
          <w:sz w:val="32"/>
          <w:szCs w:val="32"/>
        </w:rPr>
        <w:t>对辖区内的校外托管机构逐一进行登记造册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将辖区内的校外托管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纳入日常监管，定期、不定期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日常巡查，发现安全隐患及时报告各相关职能部门处理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并积极配合相关部门开展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校外托管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违法违规行为的查处。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Style w:val="8"/>
          <w:b/>
          <w:bCs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有关职能部门要严格依照本办法的规定履行职责，对因玩忽职守、徇私舞弊、工作不力而导致严重后果的，要实行责任倒查，对相关责任人和责任单实行责任追究。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3" w:firstLineChars="10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3" w:firstLineChars="10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甘州区人民政府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本办法自发布之日起施行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"/>
        </w:rPr>
        <w:t>有效期2年。在本办法执行期间，如国家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和省、市出台涉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校外托管机构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"/>
        </w:rPr>
        <w:t>新的规定，以上级规定为准。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eastAsia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1M2FiYjdjZTM5YzAxZjZkMmEwM2MxNzRjYzI2MmYifQ=="/>
    <w:docVar w:name="KSO_WPS_MARK_KEY" w:val="9c1f414c-c959-4ba5-8649-47f11eccec4d"/>
  </w:docVars>
  <w:rsids>
    <w:rsidRoot w:val="00000000"/>
    <w:rsid w:val="014F03EF"/>
    <w:rsid w:val="015B3238"/>
    <w:rsid w:val="01635BBE"/>
    <w:rsid w:val="01B464A4"/>
    <w:rsid w:val="029435B7"/>
    <w:rsid w:val="02DC5124"/>
    <w:rsid w:val="038F71C9"/>
    <w:rsid w:val="04367644"/>
    <w:rsid w:val="044E2BE0"/>
    <w:rsid w:val="04675A50"/>
    <w:rsid w:val="04784101"/>
    <w:rsid w:val="06113EC5"/>
    <w:rsid w:val="066761DB"/>
    <w:rsid w:val="06CB49BC"/>
    <w:rsid w:val="07571DAC"/>
    <w:rsid w:val="076F11B9"/>
    <w:rsid w:val="078A0290"/>
    <w:rsid w:val="08652BE4"/>
    <w:rsid w:val="09304FAA"/>
    <w:rsid w:val="0A390392"/>
    <w:rsid w:val="0A6D0D3E"/>
    <w:rsid w:val="0BB659FD"/>
    <w:rsid w:val="0BC70130"/>
    <w:rsid w:val="0C1F4E62"/>
    <w:rsid w:val="0C235437"/>
    <w:rsid w:val="0CEE3A2C"/>
    <w:rsid w:val="0D5F7C0C"/>
    <w:rsid w:val="0DA63A8D"/>
    <w:rsid w:val="0DC11414"/>
    <w:rsid w:val="0E1E1875"/>
    <w:rsid w:val="0EA24254"/>
    <w:rsid w:val="0F851480"/>
    <w:rsid w:val="10472A62"/>
    <w:rsid w:val="10A32505"/>
    <w:rsid w:val="113B273E"/>
    <w:rsid w:val="117143B2"/>
    <w:rsid w:val="1331204B"/>
    <w:rsid w:val="135A3308"/>
    <w:rsid w:val="135A6D83"/>
    <w:rsid w:val="13B16CE7"/>
    <w:rsid w:val="13BF7656"/>
    <w:rsid w:val="148B7538"/>
    <w:rsid w:val="15164A0B"/>
    <w:rsid w:val="15836462"/>
    <w:rsid w:val="15E909BB"/>
    <w:rsid w:val="18101554"/>
    <w:rsid w:val="185540E5"/>
    <w:rsid w:val="18910E95"/>
    <w:rsid w:val="18BC6628"/>
    <w:rsid w:val="18ED0F49"/>
    <w:rsid w:val="198B317A"/>
    <w:rsid w:val="199D21E8"/>
    <w:rsid w:val="1AA006B0"/>
    <w:rsid w:val="1AE300CE"/>
    <w:rsid w:val="1B770817"/>
    <w:rsid w:val="1C146065"/>
    <w:rsid w:val="1C9D42AD"/>
    <w:rsid w:val="1CC8386A"/>
    <w:rsid w:val="1D036806"/>
    <w:rsid w:val="1E197963"/>
    <w:rsid w:val="1E3B5B2B"/>
    <w:rsid w:val="1E4B02F3"/>
    <w:rsid w:val="1E6C2189"/>
    <w:rsid w:val="1E9B568B"/>
    <w:rsid w:val="1EDF295B"/>
    <w:rsid w:val="1F29007A"/>
    <w:rsid w:val="1F680BA2"/>
    <w:rsid w:val="1F8B663F"/>
    <w:rsid w:val="1FBF453A"/>
    <w:rsid w:val="1FC14756"/>
    <w:rsid w:val="1FD44489"/>
    <w:rsid w:val="211D776A"/>
    <w:rsid w:val="21D166FA"/>
    <w:rsid w:val="221B63A0"/>
    <w:rsid w:val="23C860B3"/>
    <w:rsid w:val="23F0560A"/>
    <w:rsid w:val="240F5A90"/>
    <w:rsid w:val="244B45EE"/>
    <w:rsid w:val="24F84776"/>
    <w:rsid w:val="268A7650"/>
    <w:rsid w:val="26E86A6C"/>
    <w:rsid w:val="277F2F2D"/>
    <w:rsid w:val="282A2993"/>
    <w:rsid w:val="2892026F"/>
    <w:rsid w:val="28996270"/>
    <w:rsid w:val="28B5472C"/>
    <w:rsid w:val="28EC746D"/>
    <w:rsid w:val="29D23098"/>
    <w:rsid w:val="2A7C7BF7"/>
    <w:rsid w:val="2A842608"/>
    <w:rsid w:val="2C7671E5"/>
    <w:rsid w:val="2C8965FC"/>
    <w:rsid w:val="2D177764"/>
    <w:rsid w:val="2EC3772A"/>
    <w:rsid w:val="2F416D1A"/>
    <w:rsid w:val="2F5527C5"/>
    <w:rsid w:val="30197C97"/>
    <w:rsid w:val="30CB0F91"/>
    <w:rsid w:val="311A3CC6"/>
    <w:rsid w:val="31E247E4"/>
    <w:rsid w:val="3422536C"/>
    <w:rsid w:val="344E43B3"/>
    <w:rsid w:val="359D0A22"/>
    <w:rsid w:val="36681030"/>
    <w:rsid w:val="38B5763C"/>
    <w:rsid w:val="3A2D4A6A"/>
    <w:rsid w:val="3B312338"/>
    <w:rsid w:val="3B417250"/>
    <w:rsid w:val="3B464036"/>
    <w:rsid w:val="3D3359FA"/>
    <w:rsid w:val="3D850719"/>
    <w:rsid w:val="3E6D7B2B"/>
    <w:rsid w:val="3EE73B17"/>
    <w:rsid w:val="3F5577CE"/>
    <w:rsid w:val="3F8F3AD1"/>
    <w:rsid w:val="40987453"/>
    <w:rsid w:val="4253528A"/>
    <w:rsid w:val="4282540B"/>
    <w:rsid w:val="42F51FEF"/>
    <w:rsid w:val="44615A3C"/>
    <w:rsid w:val="456509CC"/>
    <w:rsid w:val="459E681C"/>
    <w:rsid w:val="45D93CF8"/>
    <w:rsid w:val="45DF0AE5"/>
    <w:rsid w:val="45E76415"/>
    <w:rsid w:val="46687036"/>
    <w:rsid w:val="480706A9"/>
    <w:rsid w:val="490177EE"/>
    <w:rsid w:val="493A2D00"/>
    <w:rsid w:val="498D2B85"/>
    <w:rsid w:val="49A14B2D"/>
    <w:rsid w:val="4A471230"/>
    <w:rsid w:val="4A6242BC"/>
    <w:rsid w:val="4B2C0426"/>
    <w:rsid w:val="4B4E65EF"/>
    <w:rsid w:val="4BB02E05"/>
    <w:rsid w:val="4BC114EB"/>
    <w:rsid w:val="4BE156B5"/>
    <w:rsid w:val="4C6065D9"/>
    <w:rsid w:val="4C7E2F03"/>
    <w:rsid w:val="4C8A7AFA"/>
    <w:rsid w:val="4CAE1A3B"/>
    <w:rsid w:val="4CB16E35"/>
    <w:rsid w:val="4D8A7B12"/>
    <w:rsid w:val="4DAE15C6"/>
    <w:rsid w:val="4DED20EF"/>
    <w:rsid w:val="4E067654"/>
    <w:rsid w:val="4E21623C"/>
    <w:rsid w:val="4FA62E9D"/>
    <w:rsid w:val="505E1082"/>
    <w:rsid w:val="50A13664"/>
    <w:rsid w:val="51E73D69"/>
    <w:rsid w:val="51FD2B1C"/>
    <w:rsid w:val="534C5B09"/>
    <w:rsid w:val="5356228B"/>
    <w:rsid w:val="54C33BA9"/>
    <w:rsid w:val="55983288"/>
    <w:rsid w:val="55F60995"/>
    <w:rsid w:val="566D64C3"/>
    <w:rsid w:val="57120E18"/>
    <w:rsid w:val="58093FC9"/>
    <w:rsid w:val="58FF717A"/>
    <w:rsid w:val="59AA358A"/>
    <w:rsid w:val="5A5102C3"/>
    <w:rsid w:val="5AA224B3"/>
    <w:rsid w:val="5AF251E8"/>
    <w:rsid w:val="5B61236E"/>
    <w:rsid w:val="5BAC35E9"/>
    <w:rsid w:val="5BF31218"/>
    <w:rsid w:val="5C4952DC"/>
    <w:rsid w:val="5C5F065B"/>
    <w:rsid w:val="5DD72166"/>
    <w:rsid w:val="5E135BA1"/>
    <w:rsid w:val="5E443FAD"/>
    <w:rsid w:val="5F047298"/>
    <w:rsid w:val="61CE18F2"/>
    <w:rsid w:val="622B7232"/>
    <w:rsid w:val="6263077A"/>
    <w:rsid w:val="62B965EC"/>
    <w:rsid w:val="62C47C8A"/>
    <w:rsid w:val="648D174A"/>
    <w:rsid w:val="648F3AA8"/>
    <w:rsid w:val="64ED4F0F"/>
    <w:rsid w:val="654725D5"/>
    <w:rsid w:val="65931376"/>
    <w:rsid w:val="659A6BA8"/>
    <w:rsid w:val="677F6056"/>
    <w:rsid w:val="68E03656"/>
    <w:rsid w:val="6A5437CA"/>
    <w:rsid w:val="6B99345E"/>
    <w:rsid w:val="6B9F6CC6"/>
    <w:rsid w:val="6D7C6B93"/>
    <w:rsid w:val="6DFE57FA"/>
    <w:rsid w:val="6E585A60"/>
    <w:rsid w:val="6F2C2E4B"/>
    <w:rsid w:val="6F593630"/>
    <w:rsid w:val="6F7C10CD"/>
    <w:rsid w:val="6FD14C6B"/>
    <w:rsid w:val="70B17276"/>
    <w:rsid w:val="70DA183A"/>
    <w:rsid w:val="70F73101"/>
    <w:rsid w:val="71710DC2"/>
    <w:rsid w:val="72161365"/>
    <w:rsid w:val="726148AD"/>
    <w:rsid w:val="728F797F"/>
    <w:rsid w:val="72FA6ED8"/>
    <w:rsid w:val="732E0D33"/>
    <w:rsid w:val="734C0DB6"/>
    <w:rsid w:val="736E5226"/>
    <w:rsid w:val="73AA445A"/>
    <w:rsid w:val="741915E0"/>
    <w:rsid w:val="744860B7"/>
    <w:rsid w:val="74C5039B"/>
    <w:rsid w:val="7516167C"/>
    <w:rsid w:val="755D54FC"/>
    <w:rsid w:val="75742F72"/>
    <w:rsid w:val="75986535"/>
    <w:rsid w:val="76B05501"/>
    <w:rsid w:val="76C754D6"/>
    <w:rsid w:val="76CD220E"/>
    <w:rsid w:val="7826607A"/>
    <w:rsid w:val="78A376CA"/>
    <w:rsid w:val="79D7072B"/>
    <w:rsid w:val="7A016D9E"/>
    <w:rsid w:val="7A0D74F1"/>
    <w:rsid w:val="7BE349AD"/>
    <w:rsid w:val="7CCD740C"/>
    <w:rsid w:val="7CDB7433"/>
    <w:rsid w:val="7D796C4C"/>
    <w:rsid w:val="7E86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5535</Words>
  <Characters>5661</Characters>
  <Lines>0</Lines>
  <Paragraphs>0</Paragraphs>
  <TotalTime>17</TotalTime>
  <ScaleCrop>false</ScaleCrop>
  <LinksUpToDate>false</LinksUpToDate>
  <CharactersWithSpaces>5764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2022-08-31T08:19:00Z</dcterms:created>
  <dc:creator>Administrator</dc:creator>
  <cp:lastModifiedBy>WPS_1677925235</cp:lastModifiedBy>
  <cp:lastPrinted>2024-07-17T02:26:28Z</cp:lastPrinted>
  <dcterms:modified xsi:type="dcterms:W3CDTF">2024-07-17T03:15:42Z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220E3406F5B0427C9D4292C274875374</vt:lpwstr>
  </property>
</Properties>
</file>