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622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48997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行政处罚</w:t>
      </w:r>
      <w:r>
        <w:rPr>
          <w:rFonts w:hint="eastAsia" w:ascii="方正小标宋简体" w:hAnsi="方正小标宋简体" w:eastAsia="方正小标宋简体" w:cs="方正小标宋简体"/>
          <w:b w:val="0"/>
          <w:bCs w:val="0"/>
          <w:spacing w:val="1"/>
          <w:sz w:val="44"/>
          <w:szCs w:val="44"/>
          <w:lang w:eastAsia="zh-CN"/>
        </w:rPr>
        <w:t>）</w:t>
      </w:r>
    </w:p>
    <w:tbl>
      <w:tblPr>
        <w:tblStyle w:val="8"/>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787"/>
        <w:gridCol w:w="840"/>
        <w:gridCol w:w="1373"/>
        <w:gridCol w:w="847"/>
        <w:gridCol w:w="1320"/>
        <w:gridCol w:w="1740"/>
        <w:gridCol w:w="360"/>
        <w:gridCol w:w="135"/>
        <w:gridCol w:w="1005"/>
        <w:gridCol w:w="285"/>
        <w:gridCol w:w="585"/>
        <w:gridCol w:w="240"/>
        <w:gridCol w:w="585"/>
        <w:gridCol w:w="1215"/>
        <w:gridCol w:w="585"/>
        <w:gridCol w:w="986"/>
        <w:gridCol w:w="809"/>
      </w:tblGrid>
      <w:tr w14:paraId="2E89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65E23DD">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787" w:type="dxa"/>
            <w:vMerge w:val="restart"/>
            <w:shd w:val="clear" w:color="auto" w:fill="auto"/>
            <w:vAlign w:val="center"/>
          </w:tcPr>
          <w:p w14:paraId="5B05A65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40" w:type="dxa"/>
            <w:vMerge w:val="restart"/>
            <w:shd w:val="clear" w:color="auto" w:fill="auto"/>
            <w:vAlign w:val="center"/>
          </w:tcPr>
          <w:p w14:paraId="264EB1CE">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373" w:type="dxa"/>
            <w:vMerge w:val="restart"/>
            <w:shd w:val="clear" w:color="auto" w:fill="auto"/>
            <w:vAlign w:val="center"/>
          </w:tcPr>
          <w:p w14:paraId="7296C20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847" w:type="dxa"/>
            <w:vMerge w:val="restart"/>
            <w:shd w:val="clear" w:color="auto" w:fill="auto"/>
            <w:vAlign w:val="center"/>
          </w:tcPr>
          <w:p w14:paraId="7A9F7014">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320" w:type="dxa"/>
            <w:vMerge w:val="restart"/>
            <w:shd w:val="clear" w:color="auto" w:fill="auto"/>
            <w:vAlign w:val="center"/>
          </w:tcPr>
          <w:p w14:paraId="7F6872D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7721" w:type="dxa"/>
            <w:gridSpan w:val="11"/>
            <w:vAlign w:val="center"/>
          </w:tcPr>
          <w:p w14:paraId="23A9DD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A326C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BA3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C2E4A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787" w:type="dxa"/>
            <w:vMerge w:val="continue"/>
            <w:vAlign w:val="center"/>
          </w:tcPr>
          <w:p w14:paraId="092BB2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40" w:type="dxa"/>
            <w:vMerge w:val="continue"/>
            <w:vAlign w:val="center"/>
          </w:tcPr>
          <w:p w14:paraId="00BDA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373" w:type="dxa"/>
            <w:vMerge w:val="continue"/>
            <w:vAlign w:val="center"/>
          </w:tcPr>
          <w:p w14:paraId="305215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47" w:type="dxa"/>
            <w:vMerge w:val="continue"/>
            <w:vAlign w:val="center"/>
          </w:tcPr>
          <w:p w14:paraId="221EF6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320" w:type="dxa"/>
            <w:vMerge w:val="continue"/>
            <w:vAlign w:val="center"/>
          </w:tcPr>
          <w:p w14:paraId="72B2F4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2100" w:type="dxa"/>
            <w:gridSpan w:val="2"/>
            <w:vAlign w:val="center"/>
          </w:tcPr>
          <w:p w14:paraId="700E80F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425" w:type="dxa"/>
            <w:gridSpan w:val="3"/>
            <w:vAlign w:val="center"/>
          </w:tcPr>
          <w:p w14:paraId="0E016B1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825" w:type="dxa"/>
            <w:gridSpan w:val="2"/>
            <w:vAlign w:val="center"/>
          </w:tcPr>
          <w:p w14:paraId="1736128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800" w:type="dxa"/>
            <w:gridSpan w:val="2"/>
            <w:vAlign w:val="center"/>
          </w:tcPr>
          <w:p w14:paraId="1A56552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571" w:type="dxa"/>
            <w:gridSpan w:val="2"/>
            <w:vAlign w:val="center"/>
          </w:tcPr>
          <w:p w14:paraId="58C0719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4D9C7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2E9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0091D0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1</w:t>
            </w:r>
          </w:p>
        </w:tc>
        <w:tc>
          <w:tcPr>
            <w:tcW w:w="787" w:type="dxa"/>
            <w:vAlign w:val="center"/>
          </w:tcPr>
          <w:p w14:paraId="3FF914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医师执业</w:t>
            </w:r>
          </w:p>
        </w:tc>
        <w:tc>
          <w:tcPr>
            <w:tcW w:w="840" w:type="dxa"/>
            <w:vAlign w:val="center"/>
          </w:tcPr>
          <w:p w14:paraId="10B9F5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行政处罚</w:t>
            </w:r>
          </w:p>
        </w:tc>
        <w:tc>
          <w:tcPr>
            <w:tcW w:w="1373" w:type="dxa"/>
            <w:vAlign w:val="center"/>
          </w:tcPr>
          <w:p w14:paraId="7BEDF6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47" w:type="dxa"/>
            <w:vAlign w:val="center"/>
          </w:tcPr>
          <w:p w14:paraId="342EA2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320" w:type="dxa"/>
            <w:vAlign w:val="center"/>
          </w:tcPr>
          <w:p w14:paraId="059A51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2235" w:type="dxa"/>
            <w:gridSpan w:val="3"/>
            <w:vAlign w:val="center"/>
          </w:tcPr>
          <w:p w14:paraId="1BBC47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根据《中华人民共和国医师法》第五十四条在医师资格考试中有违反考试纪律等行为，情节严重的，一年至三年内禁止参加医师资格考试。以不正当手段取得医师资格证书或者医师执业证书的，由发给证书的卫生健康主管部门予以撤销，三年内不受理其相应申请。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1290" w:type="dxa"/>
            <w:gridSpan w:val="2"/>
            <w:vAlign w:val="center"/>
          </w:tcPr>
          <w:p w14:paraId="0BE1E6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25" w:type="dxa"/>
            <w:gridSpan w:val="2"/>
            <w:vAlign w:val="center"/>
          </w:tcPr>
          <w:p w14:paraId="72D027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800" w:type="dxa"/>
            <w:gridSpan w:val="2"/>
            <w:vAlign w:val="center"/>
          </w:tcPr>
          <w:p w14:paraId="7BF537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571" w:type="dxa"/>
            <w:gridSpan w:val="2"/>
            <w:vAlign w:val="center"/>
          </w:tcPr>
          <w:p w14:paraId="1FD6BEE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vAlign w:val="center"/>
          </w:tcPr>
          <w:p w14:paraId="0A717E0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526D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5" w:hRule="atLeast"/>
        </w:trPr>
        <w:tc>
          <w:tcPr>
            <w:tcW w:w="453" w:type="dxa"/>
            <w:vAlign w:val="center"/>
          </w:tcPr>
          <w:p w14:paraId="7D68B2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2</w:t>
            </w:r>
          </w:p>
        </w:tc>
        <w:tc>
          <w:tcPr>
            <w:tcW w:w="787" w:type="dxa"/>
            <w:vAlign w:val="center"/>
          </w:tcPr>
          <w:p w14:paraId="744108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护士执业</w:t>
            </w:r>
          </w:p>
        </w:tc>
        <w:tc>
          <w:tcPr>
            <w:tcW w:w="840" w:type="dxa"/>
            <w:vAlign w:val="center"/>
          </w:tcPr>
          <w:p w14:paraId="7EEC54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行政处罚</w:t>
            </w:r>
          </w:p>
        </w:tc>
        <w:tc>
          <w:tcPr>
            <w:tcW w:w="1373" w:type="dxa"/>
            <w:vAlign w:val="center"/>
          </w:tcPr>
          <w:p w14:paraId="7B1C2B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47" w:type="dxa"/>
            <w:vAlign w:val="center"/>
          </w:tcPr>
          <w:p w14:paraId="640116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320" w:type="dxa"/>
            <w:vAlign w:val="center"/>
          </w:tcPr>
          <w:p w14:paraId="52BD5A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2100" w:type="dxa"/>
            <w:gridSpan w:val="2"/>
            <w:vAlign w:val="center"/>
          </w:tcPr>
          <w:p w14:paraId="61ECBB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425" w:type="dxa"/>
            <w:gridSpan w:val="3"/>
            <w:vAlign w:val="center"/>
          </w:tcPr>
          <w:p w14:paraId="28EFD7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25" w:type="dxa"/>
            <w:gridSpan w:val="2"/>
            <w:vAlign w:val="center"/>
          </w:tcPr>
          <w:p w14:paraId="76773E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800" w:type="dxa"/>
            <w:gridSpan w:val="2"/>
            <w:vAlign w:val="center"/>
          </w:tcPr>
          <w:p w14:paraId="58892A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bookmarkStart w:id="0" w:name="OLE_LINK1"/>
            <w:r>
              <w:rPr>
                <w:rFonts w:hint="eastAsia" w:asciiTheme="minorEastAsia" w:hAnsiTheme="minorEastAsia" w:eastAsiaTheme="minorEastAsia" w:cstheme="minorEastAsia"/>
                <w:b w:val="0"/>
                <w:bCs w:val="0"/>
                <w:spacing w:val="1"/>
                <w:sz w:val="21"/>
                <w:szCs w:val="21"/>
                <w:vertAlign w:val="baseline"/>
                <w:lang w:val="en-US" w:eastAsia="zh-CN"/>
              </w:rPr>
              <w:t>中华人民共和国卫生部令（第59号）—《护士执业注册管理办法》</w:t>
            </w:r>
            <w:bookmarkEnd w:id="0"/>
            <w:r>
              <w:rPr>
                <w:rFonts w:hint="eastAsia" w:asciiTheme="minorEastAsia" w:hAnsiTheme="minorEastAsia" w:eastAsiaTheme="minorEastAsia" w:cstheme="minorEastAsia"/>
                <w:b w:val="0"/>
                <w:bCs w:val="0"/>
                <w:spacing w:val="1"/>
                <w:sz w:val="21"/>
                <w:szCs w:val="21"/>
                <w:vertAlign w:val="baseline"/>
                <w:lang w:val="en-US" w:eastAsia="zh-CN"/>
              </w:rPr>
              <w:t>第十九条卫生行政部门实施护士执业注册，有下列情形之一的，由其上级卫生行政部门或者监察机关责令改正，对直接负责的主管人员或者其他直接责任人员依法给予行政处分：（一）对不符合护士执业注册条件者准予护士执业注册的；（二）对符合护士执业注册条件者不予护士执业注册的；第二十条护士执业注册申请人隐瞒有关情况或者提供虚假材料申请护士执业注册的，卫生行政部门不予受理或者不予护士执业注册，并给予警告；已经注册的，应当撤销注册。</w:t>
            </w:r>
          </w:p>
        </w:tc>
        <w:tc>
          <w:tcPr>
            <w:tcW w:w="1571" w:type="dxa"/>
            <w:gridSpan w:val="2"/>
            <w:vAlign w:val="center"/>
          </w:tcPr>
          <w:p w14:paraId="7332AE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vAlign w:val="center"/>
          </w:tcPr>
          <w:p w14:paraId="6B00F2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64D7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2" w:hRule="atLeast"/>
        </w:trPr>
        <w:tc>
          <w:tcPr>
            <w:tcW w:w="453" w:type="dxa"/>
            <w:vAlign w:val="center"/>
          </w:tcPr>
          <w:p w14:paraId="7271E0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3</w:t>
            </w:r>
          </w:p>
        </w:tc>
        <w:tc>
          <w:tcPr>
            <w:tcW w:w="787" w:type="dxa"/>
            <w:vAlign w:val="center"/>
          </w:tcPr>
          <w:p w14:paraId="37587A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医疗机构执业许可证</w:t>
            </w:r>
          </w:p>
        </w:tc>
        <w:tc>
          <w:tcPr>
            <w:tcW w:w="840" w:type="dxa"/>
            <w:vAlign w:val="center"/>
          </w:tcPr>
          <w:p w14:paraId="2FA308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行政处罚</w:t>
            </w:r>
          </w:p>
        </w:tc>
        <w:tc>
          <w:tcPr>
            <w:tcW w:w="1373" w:type="dxa"/>
            <w:vAlign w:val="center"/>
          </w:tcPr>
          <w:p w14:paraId="652DD5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47" w:type="dxa"/>
            <w:vAlign w:val="center"/>
          </w:tcPr>
          <w:p w14:paraId="774EE9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320" w:type="dxa"/>
            <w:vAlign w:val="center"/>
          </w:tcPr>
          <w:p w14:paraId="5EEAA8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2100" w:type="dxa"/>
            <w:gridSpan w:val="2"/>
            <w:vAlign w:val="center"/>
          </w:tcPr>
          <w:p w14:paraId="17185D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140" w:type="dxa"/>
            <w:gridSpan w:val="2"/>
            <w:vAlign w:val="center"/>
          </w:tcPr>
          <w:p w14:paraId="549C39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根据《医疗机构管理条例》第四十七条、第四十八条的规定，对医疗机构诊疗活动超出登记范围或者使用非卫生技术人员从事医疗卫生技术工作情节严重的，卫生行政部门可以根据实际情况吊销医疗机构相关诊疗科目的执业许可。</w:t>
            </w:r>
          </w:p>
        </w:tc>
        <w:tc>
          <w:tcPr>
            <w:tcW w:w="1110" w:type="dxa"/>
            <w:gridSpan w:val="3"/>
            <w:vAlign w:val="center"/>
          </w:tcPr>
          <w:p w14:paraId="3D908F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800" w:type="dxa"/>
            <w:gridSpan w:val="2"/>
            <w:vAlign w:val="center"/>
          </w:tcPr>
          <w:p w14:paraId="782FF1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571" w:type="dxa"/>
            <w:gridSpan w:val="2"/>
            <w:vAlign w:val="center"/>
          </w:tcPr>
          <w:p w14:paraId="44AA20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vAlign w:val="center"/>
          </w:tcPr>
          <w:p w14:paraId="2A4655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072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453" w:type="dxa"/>
            <w:vAlign w:val="center"/>
          </w:tcPr>
          <w:p w14:paraId="718152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4</w:t>
            </w:r>
          </w:p>
        </w:tc>
        <w:tc>
          <w:tcPr>
            <w:tcW w:w="787" w:type="dxa"/>
            <w:vAlign w:val="center"/>
          </w:tcPr>
          <w:p w14:paraId="783447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母婴保健技术许可证</w:t>
            </w:r>
          </w:p>
        </w:tc>
        <w:tc>
          <w:tcPr>
            <w:tcW w:w="840" w:type="dxa"/>
            <w:vAlign w:val="center"/>
          </w:tcPr>
          <w:p w14:paraId="46E0D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行政处罚</w:t>
            </w:r>
          </w:p>
        </w:tc>
        <w:tc>
          <w:tcPr>
            <w:tcW w:w="1373" w:type="dxa"/>
            <w:vAlign w:val="center"/>
          </w:tcPr>
          <w:p w14:paraId="26FF66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47" w:type="dxa"/>
            <w:vAlign w:val="center"/>
          </w:tcPr>
          <w:p w14:paraId="39536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320" w:type="dxa"/>
            <w:vAlign w:val="center"/>
          </w:tcPr>
          <w:p w14:paraId="30DEF7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2100" w:type="dxa"/>
            <w:gridSpan w:val="2"/>
            <w:vAlign w:val="center"/>
          </w:tcPr>
          <w:p w14:paraId="1D6636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18"/>
                <w:szCs w:val="18"/>
                <w:vertAlign w:val="baseline"/>
                <w:lang w:val="en-US" w:eastAsia="zh-CN"/>
              </w:rPr>
              <w:t>根据《中华人民共和国母婴保健法》第三十五条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上款第（三）项出具的有关医学证明无效。第三十六条未取得国家颁发的有关合格证书，施行终止妊娠手术或者采取其他方法终止妊娠，致人死亡、残疾、丧失或者基本丧失劳动能力的，依照刑法有关规定追究刑事责任。第三十七条从事母婴保健工作的人员违反本法规定，出具有关虚假医学证明或者进行胎儿性别鉴定的，由医疗保健机构或者卫生行政部门根据情节给予行政处分；情节严重的，依法取消执业资格。</w:t>
            </w:r>
          </w:p>
        </w:tc>
        <w:tc>
          <w:tcPr>
            <w:tcW w:w="2010" w:type="dxa"/>
            <w:gridSpan w:val="4"/>
            <w:vAlign w:val="center"/>
          </w:tcPr>
          <w:p w14:paraId="2E674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25" w:type="dxa"/>
            <w:gridSpan w:val="2"/>
            <w:vAlign w:val="center"/>
          </w:tcPr>
          <w:p w14:paraId="080746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800" w:type="dxa"/>
            <w:gridSpan w:val="2"/>
            <w:vAlign w:val="center"/>
          </w:tcPr>
          <w:p w14:paraId="1C2338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986" w:type="dxa"/>
            <w:vAlign w:val="center"/>
          </w:tcPr>
          <w:p w14:paraId="787F7F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vAlign w:val="center"/>
          </w:tcPr>
          <w:p w14:paraId="267F41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12E3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453" w:type="dxa"/>
            <w:vAlign w:val="center"/>
          </w:tcPr>
          <w:p w14:paraId="311DE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5</w:t>
            </w:r>
          </w:p>
        </w:tc>
        <w:tc>
          <w:tcPr>
            <w:tcW w:w="787" w:type="dxa"/>
            <w:vAlign w:val="center"/>
          </w:tcPr>
          <w:p w14:paraId="51CF1D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放射诊疗许可证</w:t>
            </w:r>
          </w:p>
        </w:tc>
        <w:tc>
          <w:tcPr>
            <w:tcW w:w="840" w:type="dxa"/>
            <w:vAlign w:val="center"/>
          </w:tcPr>
          <w:p w14:paraId="0748FC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行政处罚</w:t>
            </w:r>
          </w:p>
        </w:tc>
        <w:tc>
          <w:tcPr>
            <w:tcW w:w="1373" w:type="dxa"/>
            <w:vAlign w:val="center"/>
          </w:tcPr>
          <w:p w14:paraId="2C4247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47" w:type="dxa"/>
            <w:vAlign w:val="center"/>
          </w:tcPr>
          <w:p w14:paraId="0217AD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320" w:type="dxa"/>
            <w:vAlign w:val="center"/>
          </w:tcPr>
          <w:p w14:paraId="0A1827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1740" w:type="dxa"/>
            <w:vAlign w:val="center"/>
          </w:tcPr>
          <w:p w14:paraId="5FBC77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2370" w:type="dxa"/>
            <w:gridSpan w:val="5"/>
            <w:vAlign w:val="center"/>
          </w:tcPr>
          <w:p w14:paraId="63E5F6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18"/>
                <w:szCs w:val="18"/>
                <w:vertAlign w:val="baseline"/>
                <w:lang w:val="en-US" w:eastAsia="zh-CN"/>
              </w:rPr>
              <w:t>根据</w:t>
            </w:r>
            <w:bookmarkStart w:id="1" w:name="OLE_LINK2"/>
            <w:r>
              <w:rPr>
                <w:rFonts w:hint="eastAsia" w:asciiTheme="minorEastAsia" w:hAnsiTheme="minorEastAsia" w:eastAsiaTheme="minorEastAsia" w:cstheme="minorEastAsia"/>
                <w:b w:val="0"/>
                <w:bCs w:val="0"/>
                <w:spacing w:val="1"/>
                <w:sz w:val="18"/>
                <w:szCs w:val="18"/>
                <w:vertAlign w:val="baseline"/>
                <w:lang w:val="en-US" w:eastAsia="zh-CN"/>
              </w:rPr>
              <w:t>《放射诊疗管理规定》</w:t>
            </w:r>
            <w:bookmarkEnd w:id="1"/>
            <w:r>
              <w:rPr>
                <w:rFonts w:hint="eastAsia" w:asciiTheme="minorEastAsia" w:hAnsiTheme="minorEastAsia" w:eastAsiaTheme="minorEastAsia" w:cstheme="minorEastAsia"/>
                <w:b w:val="0"/>
                <w:bCs w:val="0"/>
                <w:spacing w:val="1"/>
                <w:sz w:val="18"/>
                <w:szCs w:val="18"/>
                <w:vertAlign w:val="baseline"/>
                <w:lang w:val="en-US" w:eastAsia="zh-CN"/>
              </w:rPr>
              <w:t>第三十八条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第三十九条医疗机构使用不具备相应资质的人员从事放射诊疗工作的，由县级以上卫生行政部门责令限期改正，并可以处以5000元以下的罚款；情节严重的，吊销其《医疗机构执业许可证》。第四十条医疗机构违反建设项目卫生审查、竣工验收有关规定的，按照《中华人民共和国职业病防治法》的规定进行处罚。第四十一条医疗机构违反本规定，有下列行为之一的，由县级以上卫生行政部门给予警告，责令限期改正；并可处一万元以下的罚款：（一）购置、使用不合格或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第四十二条卫生行政部门及其工作人员违反本规定，对不符合条件的医疗机构发放《放射诊疗许可证》的，或者不履行法定职责，造成放射事故的，对直接负责的主管人员和其他直接责任人员，依法给予行政处分；情节严重，构成犯罪的，依法追究刑事责任。</w:t>
            </w:r>
          </w:p>
        </w:tc>
        <w:tc>
          <w:tcPr>
            <w:tcW w:w="825" w:type="dxa"/>
            <w:gridSpan w:val="2"/>
            <w:vAlign w:val="center"/>
          </w:tcPr>
          <w:p w14:paraId="0D38F9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800" w:type="dxa"/>
            <w:gridSpan w:val="2"/>
            <w:vAlign w:val="center"/>
          </w:tcPr>
          <w:p w14:paraId="15404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986" w:type="dxa"/>
            <w:vAlign w:val="center"/>
          </w:tcPr>
          <w:p w14:paraId="7A01D0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vAlign w:val="center"/>
          </w:tcPr>
          <w:p w14:paraId="03AA50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bl>
    <w:p w14:paraId="370D6A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8"/>
          <w:szCs w:val="18"/>
          <w:lang w:val="en-US" w:eastAsia="zh-CN"/>
        </w:rPr>
      </w:pPr>
    </w:p>
    <w:p w14:paraId="6DE0CF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8"/>
          <w:szCs w:val="18"/>
          <w:lang w:val="en-US" w:eastAsia="zh-CN"/>
        </w:rPr>
      </w:pPr>
    </w:p>
    <w:p w14:paraId="7E30C6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8"/>
          <w:szCs w:val="18"/>
          <w:lang w:val="en-US" w:eastAsia="zh-CN"/>
        </w:rPr>
      </w:pPr>
      <w:r>
        <w:rPr>
          <w:rFonts w:hint="eastAsia" w:ascii="黑体" w:hAnsi="黑体" w:eastAsia="黑体" w:cs="黑体"/>
          <w:b w:val="0"/>
          <w:bCs w:val="0"/>
          <w:spacing w:val="1"/>
          <w:sz w:val="18"/>
          <w:szCs w:val="18"/>
          <w:lang w:val="en-US" w:eastAsia="zh-CN"/>
        </w:rPr>
        <w:t>填表说明：</w:t>
      </w:r>
    </w:p>
    <w:p w14:paraId="506F4744">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1.事项名称，事项名称应与法律法规要求保持一致，确保科学、严谨、规范。</w:t>
      </w:r>
    </w:p>
    <w:p w14:paraId="053CF098">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2.事项类型，行政执法事项类型为行政处罚、行政强制、行政检查。</w:t>
      </w:r>
    </w:p>
    <w:p w14:paraId="2C6CD994">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3.执法部门，执法部门要与法律、法规和规章等明确的执法责任主体以及单位权责清单、“三定”方案明确的执法责任主体保持一致。</w:t>
      </w:r>
    </w:p>
    <w:p w14:paraId="58E2F175">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4.执法领域，执法领域包括城市管理、市场监管、生态环境、文化市场、交通运输、应急管理、农业</w:t>
      </w:r>
      <w:r>
        <w:rPr>
          <w:rFonts w:hint="eastAsia" w:asciiTheme="minorEastAsia" w:hAnsiTheme="minorEastAsia" w:cstheme="minorEastAsia"/>
          <w:b w:val="0"/>
          <w:bCs w:val="0"/>
          <w:spacing w:val="1"/>
          <w:sz w:val="18"/>
          <w:szCs w:val="18"/>
          <w:lang w:val="en-US" w:eastAsia="zh-CN"/>
        </w:rPr>
        <w:t>农村</w:t>
      </w:r>
      <w:r>
        <w:rPr>
          <w:rFonts w:hint="eastAsia" w:asciiTheme="minorEastAsia" w:hAnsiTheme="minorEastAsia" w:eastAsiaTheme="minorEastAsia" w:cstheme="minorEastAsia"/>
          <w:b w:val="0"/>
          <w:bCs w:val="0"/>
          <w:spacing w:val="1"/>
          <w:sz w:val="18"/>
          <w:szCs w:val="18"/>
          <w:lang w:val="en-US" w:eastAsia="zh-CN"/>
        </w:rPr>
        <w:t>等领域。</w:t>
      </w:r>
    </w:p>
    <w:p w14:paraId="1C505204">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5.执法依据，按照现行有效法律、行政法规、地方性法规、部门规章、政府规章不同法律位阶分别填写，要完整填写所涉及法律、法规、规章的全称并重点列明具体条款项目。</w:t>
      </w:r>
    </w:p>
    <w:p w14:paraId="65878F66">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6.</w:t>
      </w:r>
      <w:r>
        <w:rPr>
          <w:rFonts w:hint="eastAsia" w:asciiTheme="minorEastAsia" w:hAnsiTheme="minorEastAsia" w:cstheme="minorEastAsia"/>
          <w:b w:val="0"/>
          <w:bCs w:val="0"/>
          <w:spacing w:val="1"/>
          <w:sz w:val="18"/>
          <w:szCs w:val="18"/>
          <w:lang w:val="en-US" w:eastAsia="zh-CN"/>
        </w:rPr>
        <w:t>委托</w:t>
      </w:r>
      <w:r>
        <w:rPr>
          <w:rFonts w:hint="eastAsia" w:asciiTheme="minorEastAsia" w:hAnsiTheme="minorEastAsia" w:eastAsiaTheme="minorEastAsia" w:cstheme="minorEastAsia"/>
          <w:b w:val="0"/>
          <w:bCs w:val="0"/>
          <w:spacing w:val="1"/>
          <w:sz w:val="18"/>
          <w:szCs w:val="18"/>
          <w:lang w:val="en-US" w:eastAsia="zh-CN"/>
        </w:rPr>
        <w:t>执法</w:t>
      </w:r>
      <w:r>
        <w:rPr>
          <w:rFonts w:hint="eastAsia" w:asciiTheme="minorEastAsia" w:hAnsiTheme="minorEastAsia" w:cstheme="minorEastAsia"/>
          <w:b w:val="0"/>
          <w:bCs w:val="0"/>
          <w:spacing w:val="1"/>
          <w:sz w:val="18"/>
          <w:szCs w:val="18"/>
          <w:lang w:val="en-US" w:eastAsia="zh-CN"/>
        </w:rPr>
        <w:t>事项</w:t>
      </w:r>
      <w:r>
        <w:rPr>
          <w:rFonts w:hint="eastAsia" w:asciiTheme="minorEastAsia" w:hAnsiTheme="minorEastAsia" w:eastAsiaTheme="minorEastAsia" w:cstheme="minorEastAsia"/>
          <w:b w:val="0"/>
          <w:bCs w:val="0"/>
          <w:spacing w:val="1"/>
          <w:sz w:val="18"/>
          <w:szCs w:val="18"/>
          <w:lang w:val="en-US" w:eastAsia="zh-CN"/>
        </w:rPr>
        <w:t>，对以委托形式的执法事项，应保留在委托单位的执法事项目录清单中，执法单位栏列明委托的单位名称，备注栏填写具体行使该项行政权力的受委托单位，并注明“委托执法”。</w:t>
      </w:r>
    </w:p>
    <w:p w14:paraId="7FA62E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04DC8EA8">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p>
    <w:p w14:paraId="16D1B9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行政检查</w:t>
      </w:r>
      <w:r>
        <w:rPr>
          <w:rFonts w:hint="eastAsia" w:ascii="方正小标宋简体" w:hAnsi="方正小标宋简体" w:eastAsia="方正小标宋简体" w:cs="方正小标宋简体"/>
          <w:b w:val="0"/>
          <w:bCs w:val="0"/>
          <w:spacing w:val="1"/>
          <w:sz w:val="44"/>
          <w:szCs w:val="44"/>
          <w:lang w:eastAsia="zh-CN"/>
        </w:rPr>
        <w:t>）</w:t>
      </w:r>
    </w:p>
    <w:tbl>
      <w:tblPr>
        <w:tblStyle w:val="8"/>
        <w:tblW w:w="14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712"/>
        <w:gridCol w:w="1123"/>
        <w:gridCol w:w="1165"/>
        <w:gridCol w:w="832"/>
        <w:gridCol w:w="1280"/>
        <w:gridCol w:w="1931"/>
        <w:gridCol w:w="120"/>
        <w:gridCol w:w="2085"/>
        <w:gridCol w:w="765"/>
        <w:gridCol w:w="300"/>
        <w:gridCol w:w="1650"/>
        <w:gridCol w:w="746"/>
        <w:gridCol w:w="179"/>
        <w:gridCol w:w="57"/>
        <w:gridCol w:w="752"/>
        <w:gridCol w:w="57"/>
      </w:tblGrid>
      <w:tr w14:paraId="17F6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289" w:hRule="atLeast"/>
        </w:trPr>
        <w:tc>
          <w:tcPr>
            <w:tcW w:w="453" w:type="dxa"/>
            <w:vMerge w:val="restart"/>
            <w:shd w:val="clear" w:color="auto" w:fill="auto"/>
            <w:vAlign w:val="center"/>
          </w:tcPr>
          <w:p w14:paraId="4A7502C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712" w:type="dxa"/>
            <w:vMerge w:val="restart"/>
            <w:shd w:val="clear" w:color="auto" w:fill="auto"/>
            <w:vAlign w:val="center"/>
          </w:tcPr>
          <w:p w14:paraId="36BE27BD">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1123" w:type="dxa"/>
            <w:vMerge w:val="restart"/>
            <w:shd w:val="clear" w:color="auto" w:fill="auto"/>
            <w:vAlign w:val="center"/>
          </w:tcPr>
          <w:p w14:paraId="25121DFA">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165" w:type="dxa"/>
            <w:vMerge w:val="restart"/>
            <w:shd w:val="clear" w:color="auto" w:fill="auto"/>
            <w:vAlign w:val="center"/>
          </w:tcPr>
          <w:p w14:paraId="49B672BA">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832" w:type="dxa"/>
            <w:vMerge w:val="restart"/>
            <w:shd w:val="clear" w:color="auto" w:fill="auto"/>
            <w:vAlign w:val="center"/>
          </w:tcPr>
          <w:p w14:paraId="1201F2E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280" w:type="dxa"/>
            <w:vMerge w:val="restart"/>
            <w:shd w:val="clear" w:color="auto" w:fill="auto"/>
            <w:vAlign w:val="center"/>
          </w:tcPr>
          <w:p w14:paraId="781AFE6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7776" w:type="dxa"/>
            <w:gridSpan w:val="8"/>
            <w:vAlign w:val="center"/>
          </w:tcPr>
          <w:p w14:paraId="6CE6E8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gridSpan w:val="2"/>
            <w:vMerge w:val="restart"/>
            <w:vAlign w:val="center"/>
          </w:tcPr>
          <w:p w14:paraId="1D6C95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7FA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Pr>
        <w:tc>
          <w:tcPr>
            <w:tcW w:w="453" w:type="dxa"/>
            <w:vMerge w:val="continue"/>
            <w:vAlign w:val="center"/>
          </w:tcPr>
          <w:p w14:paraId="1FEE60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712" w:type="dxa"/>
            <w:vMerge w:val="continue"/>
            <w:vAlign w:val="center"/>
          </w:tcPr>
          <w:p w14:paraId="32E110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123" w:type="dxa"/>
            <w:vMerge w:val="continue"/>
            <w:vAlign w:val="center"/>
          </w:tcPr>
          <w:p w14:paraId="08757F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165" w:type="dxa"/>
            <w:vMerge w:val="continue"/>
            <w:vAlign w:val="center"/>
          </w:tcPr>
          <w:p w14:paraId="474242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2" w:type="dxa"/>
            <w:vMerge w:val="continue"/>
            <w:vAlign w:val="center"/>
          </w:tcPr>
          <w:p w14:paraId="73462E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280" w:type="dxa"/>
            <w:vMerge w:val="continue"/>
            <w:vAlign w:val="center"/>
          </w:tcPr>
          <w:p w14:paraId="282B15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931" w:type="dxa"/>
            <w:vAlign w:val="center"/>
          </w:tcPr>
          <w:p w14:paraId="2E66E00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2205" w:type="dxa"/>
            <w:gridSpan w:val="2"/>
            <w:vAlign w:val="center"/>
          </w:tcPr>
          <w:p w14:paraId="6484F45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065" w:type="dxa"/>
            <w:gridSpan w:val="2"/>
            <w:vAlign w:val="center"/>
          </w:tcPr>
          <w:p w14:paraId="5DF2B73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650" w:type="dxa"/>
            <w:vAlign w:val="center"/>
          </w:tcPr>
          <w:p w14:paraId="18D80A0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925" w:type="dxa"/>
            <w:gridSpan w:val="2"/>
            <w:vAlign w:val="center"/>
          </w:tcPr>
          <w:p w14:paraId="73039F6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gridSpan w:val="2"/>
            <w:vMerge w:val="continue"/>
            <w:vAlign w:val="center"/>
          </w:tcPr>
          <w:p w14:paraId="324C2F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674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6395" w:hRule="atLeast"/>
        </w:trPr>
        <w:tc>
          <w:tcPr>
            <w:tcW w:w="453" w:type="dxa"/>
            <w:vAlign w:val="center"/>
          </w:tcPr>
          <w:p w14:paraId="6C42BC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1</w:t>
            </w:r>
          </w:p>
        </w:tc>
        <w:tc>
          <w:tcPr>
            <w:tcW w:w="712" w:type="dxa"/>
            <w:vAlign w:val="center"/>
          </w:tcPr>
          <w:p w14:paraId="7635B8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对医师执业的行政检查</w:t>
            </w:r>
          </w:p>
        </w:tc>
        <w:tc>
          <w:tcPr>
            <w:tcW w:w="1123" w:type="dxa"/>
            <w:vAlign w:val="center"/>
          </w:tcPr>
          <w:p w14:paraId="42B71E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行政检查</w:t>
            </w:r>
          </w:p>
        </w:tc>
        <w:tc>
          <w:tcPr>
            <w:tcW w:w="1165" w:type="dxa"/>
            <w:vAlign w:val="center"/>
          </w:tcPr>
          <w:p w14:paraId="1E6E93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32" w:type="dxa"/>
            <w:vAlign w:val="center"/>
          </w:tcPr>
          <w:p w14:paraId="13E032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280" w:type="dxa"/>
            <w:vAlign w:val="center"/>
          </w:tcPr>
          <w:p w14:paraId="58829E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1931" w:type="dxa"/>
            <w:vAlign w:val="center"/>
          </w:tcPr>
          <w:p w14:paraId="4561E9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宋体" w:asciiTheme="minorEastAsia" w:hAnsi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根据《中华人民共和国医师法》</w:t>
            </w:r>
            <w:r>
              <w:rPr>
                <w:rFonts w:ascii="Arial" w:hAnsi="Arial" w:eastAsia="宋体" w:cs="Arial"/>
                <w:i w:val="0"/>
                <w:caps w:val="0"/>
                <w:color w:val="333333"/>
                <w:spacing w:val="0"/>
                <w:sz w:val="21"/>
                <w:szCs w:val="21"/>
                <w:shd w:val="clear" w:fill="FFFFFF"/>
              </w:rPr>
              <w:t>第二十六条医师开展药物、医疗器械临床试验和其他医学临床研究应当符合国家有关规定，遵守医学伦理规范，依法通过伦理审查，取得书面知情同意</w:t>
            </w:r>
            <w:r>
              <w:rPr>
                <w:rFonts w:hint="eastAsia" w:ascii="Arial" w:hAnsi="Arial" w:eastAsia="宋体" w:cs="Arial"/>
                <w:i w:val="0"/>
                <w:caps w:val="0"/>
                <w:color w:val="333333"/>
                <w:spacing w:val="0"/>
                <w:sz w:val="21"/>
                <w:szCs w:val="21"/>
                <w:shd w:val="clear" w:fill="FFFFFF"/>
                <w:lang w:eastAsia="zh-CN"/>
              </w:rPr>
              <w:t>；第二十八条医师应当使用经依法批准或者备案的药品、消毒药剂、医疗器械，采用合法、合规、科学的诊疗方法。除按照规范用于诊断治疗外，不得使用麻醉药品、医疗用毒性药品、精神药品、放射性药品等；</w:t>
            </w:r>
            <w:r>
              <w:rPr>
                <w:rFonts w:ascii="Arial" w:hAnsi="Arial" w:eastAsia="宋体" w:cs="Arial"/>
                <w:i w:val="0"/>
                <w:caps w:val="0"/>
                <w:color w:val="333333"/>
                <w:spacing w:val="0"/>
                <w:sz w:val="21"/>
                <w:szCs w:val="21"/>
                <w:shd w:val="clear" w:fill="FFFFFF"/>
              </w:rPr>
              <w:t>第三十一条医师不得利用职务之便，索要、非法收受财物或者牟取其他不正当利益；不得对患者实施不必要的检查、治疗</w:t>
            </w:r>
            <w:r>
              <w:rPr>
                <w:rFonts w:hint="eastAsia" w:ascii="Arial" w:hAnsi="Arial" w:eastAsia="宋体" w:cs="Arial"/>
                <w:i w:val="0"/>
                <w:caps w:val="0"/>
                <w:color w:val="333333"/>
                <w:spacing w:val="0"/>
                <w:sz w:val="21"/>
                <w:szCs w:val="21"/>
                <w:shd w:val="clear" w:fill="FFFFFF"/>
                <w:lang w:eastAsia="zh-CN"/>
              </w:rPr>
              <w:t>。</w:t>
            </w:r>
          </w:p>
        </w:tc>
        <w:tc>
          <w:tcPr>
            <w:tcW w:w="2205" w:type="dxa"/>
            <w:gridSpan w:val="2"/>
            <w:vAlign w:val="center"/>
          </w:tcPr>
          <w:p w14:paraId="7C6B24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065" w:type="dxa"/>
            <w:gridSpan w:val="2"/>
            <w:vAlign w:val="center"/>
          </w:tcPr>
          <w:p w14:paraId="41010C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650" w:type="dxa"/>
            <w:vAlign w:val="center"/>
          </w:tcPr>
          <w:p w14:paraId="13DBBE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925" w:type="dxa"/>
            <w:gridSpan w:val="2"/>
            <w:vAlign w:val="center"/>
          </w:tcPr>
          <w:p w14:paraId="1EB41FC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w:t>
            </w:r>
          </w:p>
        </w:tc>
        <w:tc>
          <w:tcPr>
            <w:tcW w:w="809" w:type="dxa"/>
            <w:gridSpan w:val="2"/>
            <w:vAlign w:val="center"/>
          </w:tcPr>
          <w:p w14:paraId="3F41F52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1352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8135" w:hRule="atLeast"/>
        </w:trPr>
        <w:tc>
          <w:tcPr>
            <w:tcW w:w="453" w:type="dxa"/>
            <w:vAlign w:val="center"/>
          </w:tcPr>
          <w:p w14:paraId="6B599E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2</w:t>
            </w:r>
          </w:p>
        </w:tc>
        <w:tc>
          <w:tcPr>
            <w:tcW w:w="712" w:type="dxa"/>
            <w:vAlign w:val="center"/>
          </w:tcPr>
          <w:p w14:paraId="18F8A0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对护士执业的行政检查</w:t>
            </w:r>
          </w:p>
        </w:tc>
        <w:tc>
          <w:tcPr>
            <w:tcW w:w="1123" w:type="dxa"/>
            <w:vAlign w:val="center"/>
          </w:tcPr>
          <w:p w14:paraId="067F34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行政检查</w:t>
            </w:r>
          </w:p>
        </w:tc>
        <w:tc>
          <w:tcPr>
            <w:tcW w:w="1165" w:type="dxa"/>
            <w:vAlign w:val="center"/>
          </w:tcPr>
          <w:p w14:paraId="478CC9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32" w:type="dxa"/>
            <w:vAlign w:val="center"/>
          </w:tcPr>
          <w:p w14:paraId="2C99BF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280" w:type="dxa"/>
            <w:vAlign w:val="center"/>
          </w:tcPr>
          <w:p w14:paraId="24B9D6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1931" w:type="dxa"/>
            <w:vAlign w:val="center"/>
          </w:tcPr>
          <w:p w14:paraId="6E9595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2205" w:type="dxa"/>
            <w:gridSpan w:val="2"/>
            <w:vAlign w:val="center"/>
          </w:tcPr>
          <w:p w14:paraId="509D44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765" w:type="dxa"/>
            <w:vAlign w:val="center"/>
          </w:tcPr>
          <w:p w14:paraId="05DC8B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950" w:type="dxa"/>
            <w:gridSpan w:val="2"/>
            <w:vAlign w:val="center"/>
          </w:tcPr>
          <w:p w14:paraId="4D07A3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bookmarkStart w:id="2" w:name="OLE_LINK3"/>
            <w:r>
              <w:rPr>
                <w:rFonts w:hint="eastAsia" w:asciiTheme="minorEastAsia" w:hAnsiTheme="minorEastAsia" w:eastAsiaTheme="minorEastAsia" w:cstheme="minorEastAsia"/>
                <w:b w:val="0"/>
                <w:bCs w:val="0"/>
                <w:spacing w:val="1"/>
                <w:sz w:val="21"/>
                <w:szCs w:val="21"/>
                <w:vertAlign w:val="baseline"/>
                <w:lang w:val="en-US" w:eastAsia="zh-CN"/>
              </w:rPr>
              <w:t>中华人民共和国卫生部令（第59号）—《护士执业注册管理办法》</w:t>
            </w:r>
            <w:bookmarkEnd w:id="2"/>
            <w:r>
              <w:rPr>
                <w:rFonts w:hint="eastAsia" w:asciiTheme="minorEastAsia" w:hAnsiTheme="minorEastAsia" w:eastAsiaTheme="minorEastAsia" w:cstheme="minorEastAsia"/>
                <w:b w:val="0"/>
                <w:bCs w:val="0"/>
                <w:spacing w:val="1"/>
                <w:sz w:val="21"/>
                <w:szCs w:val="21"/>
                <w:vertAlign w:val="baseline"/>
                <w:lang w:val="en-US" w:eastAsia="zh-CN"/>
              </w:rPr>
              <w:t>第二条护士经执业注册取得《护士执业证书》后，方可按照注册的执业地点从事护理工作。未经执业注册取得《护士执业证书》者，不得从事诊疗技术规范规定的护理活动；第十六条护士在其执业注册有效期内变更执业地点等注册项目，应当办理变更注册。但承担卫生行政部门交办或者批准的任务以及履行医疗卫生机构职责的护理活动，包括经医疗卫生机构批准的进修、学术交流等除外。第十八条护士执业注册后有下列情形之一的，原注册部门办理注销执业注册：（一）注册有效期届满未延续注册；（二）受吊销《护士执业证书》处罚；（三）护士死亡或者丧失民事行为能力。</w:t>
            </w:r>
          </w:p>
        </w:tc>
        <w:tc>
          <w:tcPr>
            <w:tcW w:w="925" w:type="dxa"/>
            <w:gridSpan w:val="2"/>
            <w:vAlign w:val="center"/>
          </w:tcPr>
          <w:p w14:paraId="53F508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gridSpan w:val="2"/>
            <w:vAlign w:val="center"/>
          </w:tcPr>
          <w:p w14:paraId="11458B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3C89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8510" w:hRule="atLeast"/>
        </w:trPr>
        <w:tc>
          <w:tcPr>
            <w:tcW w:w="453" w:type="dxa"/>
            <w:vAlign w:val="center"/>
          </w:tcPr>
          <w:p w14:paraId="0D82F6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3</w:t>
            </w:r>
          </w:p>
        </w:tc>
        <w:tc>
          <w:tcPr>
            <w:tcW w:w="712" w:type="dxa"/>
            <w:vAlign w:val="center"/>
          </w:tcPr>
          <w:p w14:paraId="658353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对医疗机构执业的行政检查</w:t>
            </w:r>
          </w:p>
        </w:tc>
        <w:tc>
          <w:tcPr>
            <w:tcW w:w="1123" w:type="dxa"/>
            <w:vAlign w:val="center"/>
          </w:tcPr>
          <w:p w14:paraId="76D31E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行政检查</w:t>
            </w:r>
          </w:p>
        </w:tc>
        <w:tc>
          <w:tcPr>
            <w:tcW w:w="1165" w:type="dxa"/>
            <w:vAlign w:val="center"/>
          </w:tcPr>
          <w:p w14:paraId="3C6B58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32" w:type="dxa"/>
            <w:vAlign w:val="center"/>
          </w:tcPr>
          <w:p w14:paraId="165CE8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280" w:type="dxa"/>
            <w:vAlign w:val="center"/>
          </w:tcPr>
          <w:p w14:paraId="084D79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1931" w:type="dxa"/>
            <w:vAlign w:val="center"/>
          </w:tcPr>
          <w:p w14:paraId="01AA9B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asciiTheme="minorEastAsia" w:hAnsiTheme="minorEastAsia" w:cstheme="minorEastAsia"/>
                <w:b w:val="0"/>
                <w:bCs w:val="0"/>
                <w:spacing w:val="1"/>
                <w:sz w:val="21"/>
                <w:szCs w:val="21"/>
                <w:vertAlign w:val="baseline"/>
                <w:lang w:val="en-US" w:eastAsia="zh-CN"/>
              </w:rPr>
            </w:pPr>
          </w:p>
        </w:tc>
        <w:tc>
          <w:tcPr>
            <w:tcW w:w="2205" w:type="dxa"/>
            <w:gridSpan w:val="2"/>
            <w:vAlign w:val="center"/>
          </w:tcPr>
          <w:p w14:paraId="1A6F28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根据《医疗机构管理条例》</w:t>
            </w:r>
            <w:r>
              <w:rPr>
                <w:rFonts w:ascii="Arial" w:hAnsi="Arial" w:eastAsia="宋体" w:cs="Arial"/>
                <w:i w:val="0"/>
                <w:caps w:val="0"/>
                <w:color w:val="333333"/>
                <w:spacing w:val="0"/>
                <w:sz w:val="21"/>
                <w:szCs w:val="21"/>
                <w:shd w:val="clear" w:fill="FFFFFF"/>
              </w:rPr>
              <w:t>第十四条医疗机构执业，必须进行登记，领取《医疗机构执业许可证》；诊所按照国务院卫生行政部门的规定向所在地的县级人民政府卫生行政部门备案后，可以执业</w:t>
            </w:r>
            <w:r>
              <w:rPr>
                <w:rFonts w:hint="eastAsia" w:ascii="Arial" w:hAnsi="Arial" w:eastAsia="宋体" w:cs="Arial"/>
                <w:i w:val="0"/>
                <w:caps w:val="0"/>
                <w:color w:val="333333"/>
                <w:spacing w:val="0"/>
                <w:sz w:val="21"/>
                <w:szCs w:val="21"/>
                <w:shd w:val="clear" w:fill="FFFFFF"/>
                <w:lang w:eastAsia="zh-CN"/>
              </w:rPr>
              <w:t>；第二十二条《医疗机构执业许可证》不得伪造、涂改、出卖、转让、出借。《医疗机构执业许可证》遗失的，应当及时申明，并向原登记机关申请补发；</w:t>
            </w:r>
            <w:r>
              <w:rPr>
                <w:rFonts w:ascii="Arial" w:hAnsi="Arial" w:eastAsia="宋体" w:cs="Arial"/>
                <w:i w:val="0"/>
                <w:caps w:val="0"/>
                <w:color w:val="333333"/>
                <w:spacing w:val="0"/>
                <w:sz w:val="21"/>
                <w:szCs w:val="21"/>
                <w:shd w:val="clear" w:fill="FFFFFF"/>
              </w:rPr>
              <w:t>第二十三条任何单位或者个人，未取得《医疗机构执业许可证》或者未经备案，不得开展诊疗活动。</w:t>
            </w:r>
            <w:r>
              <w:rPr>
                <w:rFonts w:hint="eastAsia" w:ascii="Arial" w:hAnsi="Arial" w:eastAsia="宋体" w:cs="Arial"/>
                <w:i w:val="0"/>
                <w:caps w:val="0"/>
                <w:color w:val="333333"/>
                <w:spacing w:val="0"/>
                <w:sz w:val="21"/>
                <w:szCs w:val="21"/>
                <w:shd w:val="clear" w:fill="FFFFFF"/>
              </w:rPr>
              <w:t>第三十九条县级以上人民政府卫生行政部门行使下列监督管理职权：（一）负责医疗机构的设置审批、执业登记、备案和校验</w:t>
            </w:r>
            <w:r>
              <w:rPr>
                <w:rFonts w:hint="eastAsia" w:ascii="Arial" w:hAnsi="Arial" w:eastAsia="宋体" w:cs="Arial"/>
                <w:i w:val="0"/>
                <w:caps w:val="0"/>
                <w:color w:val="333333"/>
                <w:spacing w:val="0"/>
                <w:sz w:val="21"/>
                <w:szCs w:val="21"/>
                <w:shd w:val="clear" w:fill="FFFFFF"/>
                <w:lang w:eastAsia="zh-CN"/>
              </w:rPr>
              <w:t>；</w:t>
            </w:r>
            <w:r>
              <w:rPr>
                <w:rFonts w:hint="eastAsia" w:ascii="Arial" w:hAnsi="Arial" w:eastAsia="宋体" w:cs="Arial"/>
                <w:i w:val="0"/>
                <w:caps w:val="0"/>
                <w:color w:val="333333"/>
                <w:spacing w:val="0"/>
                <w:sz w:val="21"/>
                <w:szCs w:val="21"/>
                <w:shd w:val="clear" w:fill="FFFFFF"/>
              </w:rPr>
              <w:t>（二）对医疗机构的执业活动进行检查指导；（三）负责组织对医疗机构的评审；（四）对违反本条例的行为给予处罚。</w:t>
            </w:r>
          </w:p>
        </w:tc>
        <w:tc>
          <w:tcPr>
            <w:tcW w:w="1065" w:type="dxa"/>
            <w:gridSpan w:val="2"/>
            <w:vAlign w:val="center"/>
          </w:tcPr>
          <w:p w14:paraId="3E930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650" w:type="dxa"/>
            <w:vAlign w:val="center"/>
          </w:tcPr>
          <w:p w14:paraId="3B5201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925" w:type="dxa"/>
            <w:gridSpan w:val="2"/>
            <w:vAlign w:val="center"/>
          </w:tcPr>
          <w:p w14:paraId="573FA2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gridSpan w:val="2"/>
            <w:vAlign w:val="center"/>
          </w:tcPr>
          <w:p w14:paraId="0CD0E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5958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0" w:hRule="atLeast"/>
        </w:trPr>
        <w:tc>
          <w:tcPr>
            <w:tcW w:w="453" w:type="dxa"/>
            <w:vAlign w:val="center"/>
          </w:tcPr>
          <w:p w14:paraId="02CAF6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4</w:t>
            </w:r>
          </w:p>
        </w:tc>
        <w:tc>
          <w:tcPr>
            <w:tcW w:w="712" w:type="dxa"/>
            <w:vAlign w:val="center"/>
          </w:tcPr>
          <w:p w14:paraId="307E16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对母婴保健技术许可证的行政检查</w:t>
            </w:r>
          </w:p>
        </w:tc>
        <w:tc>
          <w:tcPr>
            <w:tcW w:w="1123" w:type="dxa"/>
            <w:vAlign w:val="center"/>
          </w:tcPr>
          <w:p w14:paraId="0CB47F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行政检查</w:t>
            </w:r>
          </w:p>
        </w:tc>
        <w:tc>
          <w:tcPr>
            <w:tcW w:w="1165" w:type="dxa"/>
            <w:vAlign w:val="center"/>
          </w:tcPr>
          <w:p w14:paraId="04BF4E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32" w:type="dxa"/>
            <w:vAlign w:val="center"/>
          </w:tcPr>
          <w:p w14:paraId="5A29A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280" w:type="dxa"/>
            <w:vAlign w:val="center"/>
          </w:tcPr>
          <w:p w14:paraId="071527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2051" w:type="dxa"/>
            <w:gridSpan w:val="2"/>
            <w:vAlign w:val="center"/>
          </w:tcPr>
          <w:p w14:paraId="0B82B8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根据《中华人民共和国母婴保健法》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p>
          <w:p w14:paraId="2B8D75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严禁采用技术手段对胎儿进行性别鉴定，但医学上确有需要的除外；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p>
        </w:tc>
        <w:tc>
          <w:tcPr>
            <w:tcW w:w="2085" w:type="dxa"/>
            <w:vAlign w:val="center"/>
          </w:tcPr>
          <w:p w14:paraId="013931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1065" w:type="dxa"/>
            <w:gridSpan w:val="2"/>
            <w:vAlign w:val="center"/>
          </w:tcPr>
          <w:p w14:paraId="23016A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2396" w:type="dxa"/>
            <w:gridSpan w:val="2"/>
            <w:vAlign w:val="center"/>
          </w:tcPr>
          <w:p w14:paraId="4E3EC2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236" w:type="dxa"/>
            <w:gridSpan w:val="2"/>
            <w:vAlign w:val="center"/>
          </w:tcPr>
          <w:p w14:paraId="3876B7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gridSpan w:val="2"/>
            <w:vAlign w:val="center"/>
          </w:tcPr>
          <w:p w14:paraId="692AC5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r w14:paraId="48FB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453" w:type="dxa"/>
            <w:vAlign w:val="center"/>
          </w:tcPr>
          <w:p w14:paraId="7ABF95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5</w:t>
            </w:r>
          </w:p>
        </w:tc>
        <w:tc>
          <w:tcPr>
            <w:tcW w:w="712" w:type="dxa"/>
            <w:vAlign w:val="center"/>
          </w:tcPr>
          <w:p w14:paraId="303104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放射诊疗许可证</w:t>
            </w:r>
          </w:p>
        </w:tc>
        <w:tc>
          <w:tcPr>
            <w:tcW w:w="1123" w:type="dxa"/>
            <w:vAlign w:val="center"/>
          </w:tcPr>
          <w:p w14:paraId="29F987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行政处罚</w:t>
            </w:r>
          </w:p>
        </w:tc>
        <w:tc>
          <w:tcPr>
            <w:tcW w:w="1165" w:type="dxa"/>
            <w:vAlign w:val="center"/>
          </w:tcPr>
          <w:p w14:paraId="5E0333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甘州区卫生健康局</w:t>
            </w:r>
          </w:p>
        </w:tc>
        <w:tc>
          <w:tcPr>
            <w:tcW w:w="832" w:type="dxa"/>
            <w:vAlign w:val="center"/>
          </w:tcPr>
          <w:p w14:paraId="2ADD99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卫生健康</w:t>
            </w:r>
          </w:p>
        </w:tc>
        <w:tc>
          <w:tcPr>
            <w:tcW w:w="1280" w:type="dxa"/>
            <w:vAlign w:val="center"/>
          </w:tcPr>
          <w:p w14:paraId="287A98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区级</w:t>
            </w:r>
          </w:p>
        </w:tc>
        <w:tc>
          <w:tcPr>
            <w:tcW w:w="1931" w:type="dxa"/>
            <w:vAlign w:val="center"/>
          </w:tcPr>
          <w:p w14:paraId="2FE91A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2205" w:type="dxa"/>
            <w:gridSpan w:val="2"/>
            <w:vAlign w:val="center"/>
          </w:tcPr>
          <w:p w14:paraId="661AA6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r>
              <w:rPr>
                <w:rFonts w:hint="eastAsia" w:asciiTheme="minorEastAsia" w:hAnsiTheme="minorEastAsia" w:eastAsiaTheme="minorEastAsia" w:cstheme="minorEastAsia"/>
                <w:b w:val="0"/>
                <w:bCs w:val="0"/>
                <w:spacing w:val="1"/>
                <w:sz w:val="21"/>
                <w:szCs w:val="21"/>
                <w:vertAlign w:val="baseline"/>
                <w:lang w:val="en-US" w:eastAsia="zh-CN"/>
              </w:rPr>
              <w:t>根据《放射诊疗管理规定》第三条卫生部负责全国放射诊疗工作的监督管理。县级以上地方人民政府卫生行政部门负责本行政区域内放射诊疗工作的监督管理；第十六条医疗机构取得《放射诊疗许可证》后，到核发《医疗机构执业许可证》的卫生行政执业登记部门办理相应诊疗科目登记手续。执业登记部门应根据许可情况，将医学影像科核准到二级诊疗科目。未取得《放射诊疗许可证》或未进行诊疗科目登记的，不得开展放射诊疗工作；第三十四条 县级以上地方人民政府卫生行政部门应当定期对本行政区域内开展放射诊疗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第三十五条卫生行政部门的执法人员依法进行监督检查时，应当出示证件；被检查的单位应当予以配合，如实反映情况，提供必要的资料，不得拒绝、阻碍、隐瞒；第三十六条卫生行政部门的执法人员或者卫生行政部门授权实施检查、检测的机构及其工作人员依法检查时，应当保守被检查单位的技术秘密和业务秘密；第三十七条</w:t>
            </w:r>
            <w:bookmarkStart w:id="3" w:name="_GoBack"/>
            <w:bookmarkEnd w:id="3"/>
            <w:r>
              <w:rPr>
                <w:rFonts w:hint="eastAsia" w:asciiTheme="minorEastAsia" w:hAnsiTheme="minorEastAsia" w:eastAsiaTheme="minorEastAsia" w:cstheme="minorEastAsia"/>
                <w:b w:val="0"/>
                <w:bCs w:val="0"/>
                <w:spacing w:val="1"/>
                <w:sz w:val="21"/>
                <w:szCs w:val="21"/>
                <w:vertAlign w:val="baseline"/>
                <w:lang w:val="en-US" w:eastAsia="zh-CN"/>
              </w:rPr>
              <w:t>卫生行政部门应当加强监督执法队伍建设，提高执法人员的业务素质和执法水平，建立健全对执法人员的监督管理制度。</w:t>
            </w:r>
          </w:p>
        </w:tc>
        <w:tc>
          <w:tcPr>
            <w:tcW w:w="1065" w:type="dxa"/>
            <w:gridSpan w:val="2"/>
            <w:vAlign w:val="center"/>
          </w:tcPr>
          <w:p w14:paraId="34526C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2396" w:type="dxa"/>
            <w:gridSpan w:val="2"/>
            <w:vAlign w:val="center"/>
          </w:tcPr>
          <w:p w14:paraId="2F94B7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236" w:type="dxa"/>
            <w:gridSpan w:val="2"/>
            <w:vAlign w:val="center"/>
          </w:tcPr>
          <w:p w14:paraId="7B6F67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c>
          <w:tcPr>
            <w:tcW w:w="809" w:type="dxa"/>
            <w:gridSpan w:val="2"/>
            <w:vAlign w:val="center"/>
          </w:tcPr>
          <w:p w14:paraId="3BB706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21"/>
                <w:szCs w:val="21"/>
                <w:vertAlign w:val="baseline"/>
                <w:lang w:val="en-US" w:eastAsia="zh-CN"/>
              </w:rPr>
            </w:pPr>
          </w:p>
        </w:tc>
      </w:tr>
    </w:tbl>
    <w:p w14:paraId="0DBD17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8"/>
          <w:szCs w:val="18"/>
          <w:lang w:val="en-US" w:eastAsia="zh-CN"/>
        </w:rPr>
      </w:pPr>
    </w:p>
    <w:p w14:paraId="649175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8"/>
          <w:szCs w:val="18"/>
          <w:lang w:val="en-US" w:eastAsia="zh-CN"/>
        </w:rPr>
      </w:pPr>
      <w:r>
        <w:rPr>
          <w:rFonts w:hint="eastAsia" w:ascii="黑体" w:hAnsi="黑体" w:eastAsia="黑体" w:cs="黑体"/>
          <w:b w:val="0"/>
          <w:bCs w:val="0"/>
          <w:spacing w:val="1"/>
          <w:sz w:val="18"/>
          <w:szCs w:val="18"/>
          <w:lang w:val="en-US" w:eastAsia="zh-CN"/>
        </w:rPr>
        <w:t>填表说明：</w:t>
      </w:r>
    </w:p>
    <w:p w14:paraId="29374EFC">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1.事项名称，事项名称应与法律法规要求保持一致，确保科学、严谨、规范。</w:t>
      </w:r>
    </w:p>
    <w:p w14:paraId="1EF847A4">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2.事项类型，行政执法事项类型为行政处罚、行政强制、行政检查。</w:t>
      </w:r>
    </w:p>
    <w:p w14:paraId="0D322D9E">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3.执法部门，执法部门要与法律、法规和规章等明确的执法责任主体以及单位权责清单、“三定”方案明确的执法责任主体保持一致。</w:t>
      </w:r>
    </w:p>
    <w:p w14:paraId="6821C513">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4.执法领域，执法领域包括城市管理、市场监管、生态环境、文化市场、交通运输、应急管理、农业</w:t>
      </w:r>
      <w:r>
        <w:rPr>
          <w:rFonts w:hint="eastAsia" w:asciiTheme="minorEastAsia" w:hAnsiTheme="minorEastAsia" w:cstheme="minorEastAsia"/>
          <w:b w:val="0"/>
          <w:bCs w:val="0"/>
          <w:spacing w:val="1"/>
          <w:sz w:val="18"/>
          <w:szCs w:val="18"/>
          <w:lang w:val="en-US" w:eastAsia="zh-CN"/>
        </w:rPr>
        <w:t>农村</w:t>
      </w:r>
      <w:r>
        <w:rPr>
          <w:rFonts w:hint="eastAsia" w:asciiTheme="minorEastAsia" w:hAnsiTheme="minorEastAsia" w:eastAsiaTheme="minorEastAsia" w:cstheme="minorEastAsia"/>
          <w:b w:val="0"/>
          <w:bCs w:val="0"/>
          <w:spacing w:val="1"/>
          <w:sz w:val="18"/>
          <w:szCs w:val="18"/>
          <w:lang w:val="en-US" w:eastAsia="zh-CN"/>
        </w:rPr>
        <w:t>等领域。</w:t>
      </w:r>
    </w:p>
    <w:p w14:paraId="508C7CBB">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5.执法依据，按照现行有效法律、行政法规、地方性法规、部门规章、政府规章不同法律位阶分别填写，要完整填写所涉及法律、法规、规章的全称并重点列明具体条款项目。</w:t>
      </w:r>
    </w:p>
    <w:p w14:paraId="766C9741">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6.</w:t>
      </w:r>
      <w:r>
        <w:rPr>
          <w:rFonts w:hint="eastAsia" w:asciiTheme="minorEastAsia" w:hAnsiTheme="minorEastAsia" w:cstheme="minorEastAsia"/>
          <w:b w:val="0"/>
          <w:bCs w:val="0"/>
          <w:spacing w:val="1"/>
          <w:sz w:val="18"/>
          <w:szCs w:val="18"/>
          <w:lang w:val="en-US" w:eastAsia="zh-CN"/>
        </w:rPr>
        <w:t>委托</w:t>
      </w:r>
      <w:r>
        <w:rPr>
          <w:rFonts w:hint="eastAsia" w:asciiTheme="minorEastAsia" w:hAnsiTheme="minorEastAsia" w:eastAsiaTheme="minorEastAsia" w:cstheme="minorEastAsia"/>
          <w:b w:val="0"/>
          <w:bCs w:val="0"/>
          <w:spacing w:val="1"/>
          <w:sz w:val="18"/>
          <w:szCs w:val="18"/>
          <w:lang w:val="en-US" w:eastAsia="zh-CN"/>
        </w:rPr>
        <w:t>执法</w:t>
      </w:r>
      <w:r>
        <w:rPr>
          <w:rFonts w:hint="eastAsia" w:asciiTheme="minorEastAsia" w:hAnsiTheme="minorEastAsia" w:cstheme="minorEastAsia"/>
          <w:b w:val="0"/>
          <w:bCs w:val="0"/>
          <w:spacing w:val="1"/>
          <w:sz w:val="18"/>
          <w:szCs w:val="18"/>
          <w:lang w:val="en-US" w:eastAsia="zh-CN"/>
        </w:rPr>
        <w:t>事项</w:t>
      </w:r>
      <w:r>
        <w:rPr>
          <w:rFonts w:hint="eastAsia" w:asciiTheme="minorEastAsia" w:hAnsiTheme="minorEastAsia" w:eastAsiaTheme="minorEastAsia" w:cstheme="minorEastAsia"/>
          <w:b w:val="0"/>
          <w:bCs w:val="0"/>
          <w:spacing w:val="1"/>
          <w:sz w:val="18"/>
          <w:szCs w:val="18"/>
          <w:lang w:val="en-US" w:eastAsia="zh-CN"/>
        </w:rPr>
        <w:t>，对以委托形式的执法事项，应保留在委托单位的执法事项目录清单中，执法单位栏列明委托的单位名称，备注栏填写具体行使该项行政权力的受委托单位，并注明“委托执法”。</w:t>
      </w:r>
    </w:p>
    <w:p w14:paraId="242EC5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sectPr>
      <w:footerReference r:id="rId3" w:type="default"/>
      <w:pgSz w:w="16838" w:h="11906" w:orient="landscape"/>
      <w:pgMar w:top="1588" w:right="2098" w:bottom="1474" w:left="1985"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8FCE0F-8ECD-47C3-9CA9-8B3E3C0FA28E}"/>
  </w:font>
  <w:font w:name="黑体">
    <w:panose1 w:val="02010609060101010101"/>
    <w:charset w:val="86"/>
    <w:family w:val="auto"/>
    <w:pitch w:val="default"/>
    <w:sig w:usb0="800002BF" w:usb1="38CF7CFA" w:usb2="00000016" w:usb3="00000000" w:csb0="00040001" w:csb1="00000000"/>
    <w:embedRegular r:id="rId2" w:fontKey="{8A4C3E74-C017-4758-83E6-14F2957EA6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B9436BA7-96BE-4072-A042-62D8C9956F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998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D319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BD319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Tg0NmQ3ZmIzODhjNGZiMGE1YTA4ZDFhOTBiZWQifQ=="/>
  </w:docVars>
  <w:rsids>
    <w:rsidRoot w:val="00880869"/>
    <w:rsid w:val="00192DD6"/>
    <w:rsid w:val="002402B7"/>
    <w:rsid w:val="00536A9D"/>
    <w:rsid w:val="00566489"/>
    <w:rsid w:val="00795AF1"/>
    <w:rsid w:val="00880869"/>
    <w:rsid w:val="00A33866"/>
    <w:rsid w:val="00B22A39"/>
    <w:rsid w:val="00BC3529"/>
    <w:rsid w:val="00C24EDB"/>
    <w:rsid w:val="00D75F36"/>
    <w:rsid w:val="00E3066D"/>
    <w:rsid w:val="00EF0047"/>
    <w:rsid w:val="00F27A1A"/>
    <w:rsid w:val="04444D62"/>
    <w:rsid w:val="05EE4D5E"/>
    <w:rsid w:val="066411EE"/>
    <w:rsid w:val="14126CF8"/>
    <w:rsid w:val="16EF0A61"/>
    <w:rsid w:val="17E0104B"/>
    <w:rsid w:val="1DDD0965"/>
    <w:rsid w:val="2168170F"/>
    <w:rsid w:val="25D86356"/>
    <w:rsid w:val="30BE3F10"/>
    <w:rsid w:val="32E4261E"/>
    <w:rsid w:val="37986A75"/>
    <w:rsid w:val="3AA65EB1"/>
    <w:rsid w:val="45FB39FF"/>
    <w:rsid w:val="48B0492C"/>
    <w:rsid w:val="4CB13B3B"/>
    <w:rsid w:val="53205222"/>
    <w:rsid w:val="57232978"/>
    <w:rsid w:val="5D681FFB"/>
    <w:rsid w:val="683A7585"/>
    <w:rsid w:val="69334DEF"/>
    <w:rsid w:val="6FCC6177"/>
    <w:rsid w:val="787C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link w:val="10"/>
    <w:semiHidden/>
    <w:unhideWhenUsed/>
    <w:qFormat/>
    <w:uiPriority w:val="99"/>
    <w:pPr>
      <w:spacing w:after="120" w:line="480" w:lineRule="auto"/>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2 Char"/>
    <w:basedOn w:val="9"/>
    <w:link w:val="3"/>
    <w:semiHidden/>
    <w:qFormat/>
    <w:uiPriority w:val="99"/>
    <w:rPr>
      <w:rFonts w:ascii="Times New Roman" w:hAnsi="Times New Roman" w:eastAsia="宋体" w:cs="Times New Roman"/>
      <w:szCs w:val="24"/>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日期 Char"/>
    <w:basedOn w:val="9"/>
    <w:link w:val="2"/>
    <w:semiHidden/>
    <w:qFormat/>
    <w:uiPriority w:val="99"/>
    <w:rPr>
      <w:rFonts w:ascii="Times New Roman" w:hAnsi="Times New Roman" w:eastAsia="宋体" w:cs="Times New Roman"/>
      <w:szCs w:val="24"/>
    </w:rPr>
  </w:style>
  <w:style w:type="paragraph" w:customStyle="1" w:styleId="1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4316</Words>
  <Characters>4336</Characters>
  <Lines>1</Lines>
  <Paragraphs>1</Paragraphs>
  <TotalTime>33</TotalTime>
  <ScaleCrop>false</ScaleCrop>
  <LinksUpToDate>false</LinksUpToDate>
  <CharactersWithSpaces>4371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Administrator</cp:lastModifiedBy>
  <cp:lastPrinted>2024-11-13T01:09:00Z</cp:lastPrinted>
  <dcterms:modified xsi:type="dcterms:W3CDTF">2024-11-15T02:47:37Z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4C8C814CF9FA41E890D838D51971D112_12</vt:lpwstr>
  </property>
</Properties>
</file>