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1F" w:rsidRPr="009A7378" w:rsidRDefault="00BF121F" w:rsidP="00C6790F">
      <w:pPr>
        <w:jc w:val="center"/>
        <w:rPr>
          <w:b/>
          <w:bCs/>
          <w:sz w:val="45"/>
          <w:szCs w:val="45"/>
          <w:shd w:val="clear" w:color="auto" w:fill="FFFFFF"/>
        </w:rPr>
      </w:pPr>
      <w:r w:rsidRPr="009A7378">
        <w:rPr>
          <w:rFonts w:hint="eastAsia"/>
          <w:b/>
          <w:bCs/>
          <w:sz w:val="45"/>
          <w:szCs w:val="45"/>
          <w:shd w:val="clear" w:color="auto" w:fill="FFFFFF"/>
        </w:rPr>
        <w:t>甘州区殡仪馆</w:t>
      </w:r>
    </w:p>
    <w:p w:rsidR="00BF121F" w:rsidRPr="009A7378" w:rsidRDefault="00BF121F" w:rsidP="00C6790F">
      <w:pPr>
        <w:jc w:val="center"/>
        <w:rPr>
          <w:b/>
          <w:bCs/>
          <w:sz w:val="45"/>
          <w:szCs w:val="45"/>
          <w:shd w:val="clear" w:color="auto" w:fill="FFFFFF"/>
        </w:rPr>
      </w:pPr>
      <w:r w:rsidRPr="009A7378">
        <w:rPr>
          <w:b/>
          <w:bCs/>
          <w:sz w:val="45"/>
          <w:szCs w:val="45"/>
          <w:shd w:val="clear" w:color="auto" w:fill="FFFFFF"/>
        </w:rPr>
        <w:t>2024</w:t>
      </w:r>
      <w:r w:rsidRPr="009A7378">
        <w:rPr>
          <w:rFonts w:hint="eastAsia"/>
          <w:b/>
          <w:bCs/>
          <w:sz w:val="45"/>
          <w:szCs w:val="45"/>
          <w:shd w:val="clear" w:color="auto" w:fill="FFFFFF"/>
        </w:rPr>
        <w:t>年部门预算公开情况说明</w:t>
      </w:r>
    </w:p>
    <w:p w:rsidR="00BF121F" w:rsidRPr="009A7378" w:rsidRDefault="00BF121F" w:rsidP="00C6790F">
      <w:pPr>
        <w:pStyle w:val="cjk"/>
        <w:spacing w:before="600" w:beforeAutospacing="0" w:after="0" w:afterAutospacing="0" w:line="658" w:lineRule="atLeast"/>
        <w:ind w:left="150" w:right="150"/>
        <w:jc w:val="center"/>
        <w:rPr>
          <w:sz w:val="20"/>
          <w:szCs w:val="20"/>
        </w:rPr>
      </w:pPr>
      <w:r w:rsidRPr="009A7378">
        <w:rPr>
          <w:rStyle w:val="Strong"/>
          <w:rFonts w:cs="宋体" w:hint="eastAsia"/>
          <w:sz w:val="44"/>
          <w:szCs w:val="44"/>
        </w:rPr>
        <w:t>目</w:t>
      </w:r>
      <w:r w:rsidRPr="009A7378">
        <w:rPr>
          <w:rStyle w:val="Strong"/>
          <w:rFonts w:cs="宋体" w:hint="eastAsia"/>
          <w:sz w:val="44"/>
          <w:szCs w:val="44"/>
        </w:rPr>
        <w:t> </w:t>
      </w:r>
      <w:r w:rsidRPr="009A7378">
        <w:rPr>
          <w:rStyle w:val="Strong"/>
          <w:rFonts w:cs="宋体" w:hint="eastAsia"/>
          <w:sz w:val="44"/>
          <w:szCs w:val="44"/>
        </w:rPr>
        <w:t> </w:t>
      </w:r>
      <w:r w:rsidRPr="009A7378">
        <w:rPr>
          <w:rStyle w:val="Strong"/>
          <w:rFonts w:cs="宋体" w:hint="eastAsia"/>
          <w:sz w:val="44"/>
          <w:szCs w:val="44"/>
        </w:rPr>
        <w:t>录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Style w:val="Strong"/>
          <w:rFonts w:ascii="仿宋_GB2312" w:eastAsia="仿宋_GB2312" w:cs="宋体" w:hint="eastAsia"/>
          <w:sz w:val="30"/>
          <w:szCs w:val="30"/>
        </w:rPr>
        <w:t>第一部分</w:t>
      </w:r>
      <w:r w:rsidRPr="009A7378">
        <w:rPr>
          <w:rStyle w:val="Strong"/>
          <w:rFonts w:ascii="仿宋_GB2312" w:eastAsia="仿宋_GB2312" w:cs="宋体"/>
          <w:sz w:val="30"/>
          <w:szCs w:val="30"/>
        </w:rPr>
        <w:t xml:space="preserve"> </w:t>
      </w:r>
      <w:r w:rsidRPr="009A7378">
        <w:rPr>
          <w:rStyle w:val="Strong"/>
          <w:rFonts w:ascii="仿宋_GB2312" w:eastAsia="仿宋_GB2312" w:cs="宋体" w:hint="eastAsia"/>
          <w:sz w:val="30"/>
          <w:szCs w:val="30"/>
        </w:rPr>
        <w:t>单位基本概况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一、单位职责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二、机构设置情况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Style w:val="Strong"/>
          <w:rFonts w:ascii="仿宋_GB2312" w:eastAsia="仿宋_GB2312" w:cs="宋体" w:hint="eastAsia"/>
          <w:sz w:val="30"/>
          <w:szCs w:val="30"/>
        </w:rPr>
        <w:t>第二部分</w:t>
      </w:r>
      <w:r w:rsidRPr="009A7378">
        <w:rPr>
          <w:rStyle w:val="Strong"/>
          <w:rFonts w:ascii="仿宋_GB2312" w:eastAsia="仿宋_GB2312" w:hAnsi="Calibri" w:cs="宋体"/>
          <w:sz w:val="30"/>
          <w:szCs w:val="30"/>
        </w:rPr>
        <w:t>2024</w:t>
      </w:r>
      <w:r w:rsidRPr="009A7378">
        <w:rPr>
          <w:rStyle w:val="Strong"/>
          <w:rFonts w:ascii="仿宋_GB2312" w:eastAsia="仿宋_GB2312" w:cs="宋体" w:hint="eastAsia"/>
          <w:sz w:val="30"/>
          <w:szCs w:val="30"/>
        </w:rPr>
        <w:t>年单位预算情况说明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一、收支总体情况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二、一般公共预算情况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三、一般公共预算财政拨款“三公”经费、培训费、会议费等情况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四、一般公共预算财政拨款机关运行经费情况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五、政府采购安排情况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六、国有资产占用情况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七、其他重要事项情况说明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八、预算绩效管理情况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九、名词解释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Style w:val="Strong"/>
          <w:rFonts w:ascii="仿宋_GB2312" w:eastAsia="仿宋_GB2312" w:cs="宋体" w:hint="eastAsia"/>
          <w:sz w:val="30"/>
          <w:szCs w:val="30"/>
        </w:rPr>
        <w:t>第三部分</w:t>
      </w:r>
      <w:r w:rsidRPr="009A7378">
        <w:rPr>
          <w:rStyle w:val="Strong"/>
          <w:rFonts w:ascii="仿宋_GB2312" w:eastAsia="仿宋_GB2312" w:hAnsi="Calibri" w:cs="宋体"/>
          <w:sz w:val="30"/>
          <w:szCs w:val="30"/>
        </w:rPr>
        <w:t>2024</w:t>
      </w:r>
      <w:r w:rsidRPr="009A7378">
        <w:rPr>
          <w:rStyle w:val="Strong"/>
          <w:rFonts w:ascii="仿宋_GB2312" w:eastAsia="仿宋_GB2312" w:cs="宋体" w:hint="eastAsia"/>
          <w:sz w:val="30"/>
          <w:szCs w:val="30"/>
        </w:rPr>
        <w:t>年单位预算公开表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一、单位收支总体情况表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二、单位收入总体情况表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三、单位支出总体情况表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五、财政拨款支出表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六、一般公共预算支出情况表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七、一般公共预算基本支出情况表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八、</w:t>
      </w:r>
      <w:r w:rsidRPr="009A7378">
        <w:rPr>
          <w:rFonts w:ascii="仿宋_GB2312" w:eastAsia="仿宋_GB2312" w:hint="eastAsia"/>
          <w:spacing w:val="-20"/>
          <w:sz w:val="30"/>
          <w:szCs w:val="30"/>
        </w:rPr>
        <w:t>一般公共预算财政拨款“三公”经费、会议费、培训费支出情况表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九、一般公共预算财政拨款机关运行经费表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十、政府性基金预算支出情况表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十一、部门管理转移支付表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十二、国有资本经营预算支出情况表</w:t>
      </w:r>
    </w:p>
    <w:p w:rsidR="00BF121F" w:rsidRPr="009A7378" w:rsidRDefault="00BF121F" w:rsidP="00C6790F">
      <w:pPr>
        <w:pStyle w:val="cjk"/>
        <w:spacing w:before="600" w:beforeAutospacing="0" w:after="0" w:afterAutospacing="0" w:line="561" w:lineRule="atLeast"/>
        <w:ind w:left="150" w:right="150" w:firstLine="601"/>
        <w:rPr>
          <w:sz w:val="20"/>
          <w:szCs w:val="20"/>
        </w:rPr>
      </w:pPr>
      <w:r w:rsidRPr="009A7378">
        <w:rPr>
          <w:rFonts w:ascii="仿宋_GB2312" w:eastAsia="仿宋_GB2312" w:hint="eastAsia"/>
          <w:sz w:val="30"/>
          <w:szCs w:val="30"/>
        </w:rPr>
        <w:t>十三、单位整体支出绩效目标表和项目支出绩效目标表</w:t>
      </w: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前言</w:t>
      </w: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按照《中华人民共和国预算法》《中华人民共和国预算法实施条例》以及财政部《地方预决算公开操作规程》《关于推进部门所属单位预算公开的指导意见》和《中共甘肃省委办公厅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甘肃省人民政府办公厅关于进一步推进预算公开工作的实施方案》要求，现将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年部门预算公开如下：</w:t>
      </w: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一、单位职责</w:t>
      </w:r>
    </w:p>
    <w:p w:rsidR="00BF121F" w:rsidRPr="009A7378" w:rsidRDefault="00BF121F" w:rsidP="00EE078B">
      <w:pPr>
        <w:widowControl/>
        <w:spacing w:line="420" w:lineRule="atLeast"/>
        <w:ind w:firstLine="640"/>
        <w:jc w:val="left"/>
        <w:textAlignment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甘州区殡仪馆为集遗体火化、遗体运送、遗体冷藏、悼念告别、骨灰寄存和丧葬用品销售等为一体的公益性殡葬服务事业单位。</w:t>
      </w: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二、机构设置情况</w:t>
      </w: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甘州区殡仪馆隶属于甘州区民政局，设有综合股、火化股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个股室</w:t>
      </w: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三、单位收支总体情况</w:t>
      </w: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年部门收支总预算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349.31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万元。按照综合预算的原则，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单位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 w:rsidR="00BF121F" w:rsidRPr="009A7378" w:rsidRDefault="00BF121F" w:rsidP="00C6790F">
      <w:pPr>
        <w:widowControl/>
        <w:shd w:val="clear" w:color="auto" w:fill="FFFFFF"/>
        <w:spacing w:before="600" w:line="60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/>
          <w:b/>
          <w:bCs/>
          <w:kern w:val="0"/>
          <w:sz w:val="32"/>
          <w:szCs w:val="32"/>
        </w:rPr>
        <w:t>1.</w:t>
      </w: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收入预算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年收入预算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349.31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万元（详见单位预算公开表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1,2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）。包括：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一般公共预算收入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349.31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F121F" w:rsidRPr="009A7378" w:rsidRDefault="00BF121F" w:rsidP="00EC145B">
      <w:pPr>
        <w:widowControl/>
        <w:shd w:val="clear" w:color="auto" w:fill="FFFFFF"/>
        <w:spacing w:before="600" w:line="195" w:lineRule="atLeast"/>
        <w:ind w:left="150" w:right="150"/>
        <w:jc w:val="center"/>
        <w:rPr>
          <w:rFonts w:ascii="宋体" w:eastAsia="宋体" w:hAnsi="宋体" w:cs="宋体"/>
          <w:kern w:val="0"/>
          <w:sz w:val="20"/>
          <w:szCs w:val="20"/>
        </w:rPr>
      </w:pPr>
      <w:bookmarkStart w:id="0" w:name="_GoBack"/>
      <w:bookmarkEnd w:id="0"/>
      <w:r w:rsidRPr="009A7378">
        <w:rPr>
          <w:rFonts w:ascii="宋体" w:eastAsia="宋体" w:hAnsi="宋体" w:cs="宋体" w:hint="eastAsia"/>
          <w:kern w:val="0"/>
          <w:sz w:val="32"/>
          <w:szCs w:val="32"/>
        </w:rPr>
        <w:t>图</w:t>
      </w:r>
      <w:r w:rsidRPr="009A7378">
        <w:rPr>
          <w:rFonts w:ascii="Calibri" w:eastAsia="宋体" w:hAnsi="Calibri" w:cs="宋体"/>
          <w:kern w:val="0"/>
          <w:sz w:val="32"/>
          <w:szCs w:val="32"/>
        </w:rPr>
        <w:t>1</w:t>
      </w:r>
      <w:r w:rsidRPr="009A7378">
        <w:rPr>
          <w:rFonts w:ascii="宋体" w:eastAsia="宋体" w:hAnsi="宋体" w:cs="宋体" w:hint="eastAsia"/>
          <w:kern w:val="0"/>
          <w:sz w:val="32"/>
          <w:szCs w:val="32"/>
        </w:rPr>
        <w:t>：收入预算构成</w:t>
      </w: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30"/>
      </w:tblGrid>
      <w:tr w:rsidR="00BF121F" w:rsidRPr="009A7378" w:rsidTr="00C6790F">
        <w:trPr>
          <w:trHeight w:val="588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21F" w:rsidRPr="009A7378" w:rsidRDefault="00BF121F" w:rsidP="00C6790F">
            <w:pPr>
              <w:widowControl/>
              <w:spacing w:before="600" w:after="600" w:line="510" w:lineRule="atLeast"/>
              <w:ind w:left="150" w:right="15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1168"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https://www.zhangye.gov.cn/zyszfxxgk/fdzdgknr_5657/sgjfjysxx/bmczyjsjsgjf/202402/W020240227573701902202.gif" style="width:453.75pt;height:255pt;visibility:visible">
                  <v:imagedata r:id="rId4" o:title=""/>
                </v:shape>
              </w:pict>
            </w:r>
          </w:p>
        </w:tc>
      </w:tr>
    </w:tbl>
    <w:p w:rsidR="00BF121F" w:rsidRPr="009A7378" w:rsidRDefault="00BF121F" w:rsidP="00C6790F">
      <w:pPr>
        <w:widowControl/>
        <w:shd w:val="clear" w:color="auto" w:fill="FFFFFF"/>
        <w:spacing w:before="600" w:line="195" w:lineRule="atLeast"/>
        <w:ind w:left="150" w:right="15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宋体" w:eastAsia="宋体" w:hAnsi="宋体" w:cs="宋体" w:hint="eastAsia"/>
          <w:kern w:val="0"/>
          <w:sz w:val="32"/>
          <w:szCs w:val="32"/>
        </w:rPr>
        <w:t>蓝色：一般公共预算收入</w:t>
      </w:r>
      <w:r w:rsidRPr="009A7378">
        <w:rPr>
          <w:rFonts w:ascii="Calibri" w:eastAsia="宋体" w:hAnsi="Calibri" w:cs="宋体"/>
          <w:kern w:val="0"/>
          <w:sz w:val="32"/>
          <w:szCs w:val="32"/>
        </w:rPr>
        <w:t>100%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/>
          <w:b/>
          <w:bCs/>
          <w:kern w:val="0"/>
          <w:sz w:val="32"/>
          <w:szCs w:val="32"/>
        </w:rPr>
        <w:t>2.</w:t>
      </w: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支出预算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349.31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万元（详见单位预算公开表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）。其中：基本支出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349.31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100%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四、一般公共预算情况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年一般公共预算当年支出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349.31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万元，包括：社会保障和就业支出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324.36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万元、卫生健康支出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11.02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万元、住房保障支出（住房公积金）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13.92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9A7378">
        <w:rPr>
          <w:rFonts w:ascii="宋体" w:eastAsia="宋体" w:hAnsi="宋体" w:cs="宋体" w:hint="eastAsia"/>
          <w:kern w:val="0"/>
          <w:sz w:val="20"/>
          <w:szCs w:val="20"/>
        </w:rPr>
        <w:t>。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具体安排情况如下（详见单位预算公开表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4,5,6,7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BF121F" w:rsidRPr="009A7378" w:rsidRDefault="00BF121F" w:rsidP="00EC145B">
      <w:pPr>
        <w:widowControl/>
        <w:shd w:val="clear" w:color="auto" w:fill="FFFFFF"/>
        <w:spacing w:before="600" w:line="641" w:lineRule="atLeast"/>
        <w:ind w:left="150" w:right="150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图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：支出预算构成</w:t>
      </w:r>
    </w:p>
    <w:p w:rsidR="00BF121F" w:rsidRPr="009A7378" w:rsidRDefault="00BF121F" w:rsidP="00854AAE">
      <w:pPr>
        <w:widowControl/>
        <w:shd w:val="clear" w:color="auto" w:fill="FFFFFF"/>
        <w:spacing w:before="600" w:line="195" w:lineRule="atLeast"/>
        <w:ind w:leftChars="71" w:left="149" w:right="150" w:firstLineChars="200" w:firstLine="640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蓝色：社会保障和就业支出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绿色：卫生健康支出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红色：住房保障支出（住房公积金）</w:t>
      </w:r>
    </w:p>
    <w:p w:rsidR="00BF121F" w:rsidRPr="009A7378" w:rsidRDefault="00BF121F" w:rsidP="00C6790F">
      <w:pPr>
        <w:widowControl/>
        <w:shd w:val="clear" w:color="auto" w:fill="FFFFFF"/>
        <w:spacing w:before="600" w:line="195" w:lineRule="atLeast"/>
        <w:ind w:left="150" w:right="15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821168">
        <w:rPr>
          <w:rFonts w:ascii="宋体" w:eastAsia="宋体" w:hAnsi="宋体" w:cs="宋体"/>
          <w:noProof/>
          <w:kern w:val="0"/>
          <w:sz w:val="20"/>
          <w:szCs w:val="20"/>
        </w:rPr>
        <w:pict>
          <v:shape id="图片 2" o:spid="_x0000_i1026" type="#_x0000_t75" alt="https://www.zhangye.gov.cn/zyszfxxgk/fdzdgknr_5657/sgjfjysxx/bmczyjsjsgjf/202402/W020240227573701909148.gif" style="width:453.75pt;height:255pt;visibility:visible">
            <v:imagedata r:id="rId5" o:title=""/>
          </v:shape>
        </w:pic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（一）基本支出</w:t>
      </w:r>
    </w:p>
    <w:p w:rsidR="00BF121F" w:rsidRPr="009A7378" w:rsidRDefault="00BF121F" w:rsidP="00590ADD">
      <w:pPr>
        <w:widowControl/>
        <w:spacing w:line="420" w:lineRule="atLeast"/>
        <w:ind w:firstLine="640"/>
        <w:jc w:val="left"/>
        <w:textAlignment w:val="center"/>
        <w:rPr>
          <w:rFonts w:ascii="仿宋_GB2312" w:eastAsia="仿宋_GB2312" w:hAnsi="仿宋" w:cs="Helvetica"/>
          <w:kern w:val="0"/>
          <w:sz w:val="32"/>
          <w:szCs w:val="32"/>
        </w:rPr>
      </w:pPr>
      <w:r w:rsidRPr="009A7378">
        <w:rPr>
          <w:rFonts w:ascii="仿宋_GB2312" w:eastAsia="仿宋_GB2312" w:hAnsi="仿宋" w:cs="Helvetica"/>
          <w:kern w:val="0"/>
          <w:sz w:val="32"/>
          <w:szCs w:val="32"/>
        </w:rPr>
        <w:t>2024</w:t>
      </w:r>
      <w:r w:rsidRPr="009A7378">
        <w:rPr>
          <w:rFonts w:ascii="仿宋_GB2312" w:eastAsia="仿宋_GB2312" w:hAnsi="仿宋" w:cs="Helvetica" w:hint="eastAsia"/>
          <w:kern w:val="0"/>
          <w:sz w:val="32"/>
          <w:szCs w:val="32"/>
        </w:rPr>
        <w:t>年支出预算</w:t>
      </w:r>
      <w:r w:rsidRPr="009A7378">
        <w:rPr>
          <w:rFonts w:ascii="仿宋_GB2312" w:eastAsia="仿宋_GB2312" w:hAnsi="仿宋" w:cs="Helvetica"/>
          <w:kern w:val="0"/>
          <w:sz w:val="32"/>
          <w:szCs w:val="32"/>
        </w:rPr>
        <w:t>349.31</w:t>
      </w:r>
      <w:r w:rsidRPr="009A7378">
        <w:rPr>
          <w:rFonts w:ascii="仿宋_GB2312" w:eastAsia="仿宋_GB2312" w:hAnsi="仿宋" w:cs="Helvetica" w:hint="eastAsia"/>
          <w:kern w:val="0"/>
          <w:sz w:val="32"/>
          <w:szCs w:val="32"/>
        </w:rPr>
        <w:t>万元，比</w:t>
      </w:r>
      <w:r w:rsidRPr="009A7378">
        <w:rPr>
          <w:rFonts w:ascii="仿宋_GB2312" w:eastAsia="仿宋_GB2312" w:hAnsi="仿宋" w:cs="Helvetica"/>
          <w:kern w:val="0"/>
          <w:sz w:val="32"/>
          <w:szCs w:val="32"/>
        </w:rPr>
        <w:t>2023</w:t>
      </w:r>
      <w:r w:rsidRPr="009A7378">
        <w:rPr>
          <w:rFonts w:ascii="仿宋_GB2312" w:eastAsia="仿宋_GB2312" w:hAnsi="仿宋" w:cs="Helvetica" w:hint="eastAsia"/>
          <w:kern w:val="0"/>
          <w:sz w:val="32"/>
          <w:szCs w:val="32"/>
        </w:rPr>
        <w:t>年预算增加</w:t>
      </w:r>
      <w:r w:rsidRPr="009A7378">
        <w:rPr>
          <w:rFonts w:ascii="仿宋_GB2312" w:eastAsia="仿宋_GB2312" w:hAnsi="仿宋" w:cs="Helvetica"/>
          <w:kern w:val="0"/>
          <w:sz w:val="32"/>
          <w:szCs w:val="32"/>
        </w:rPr>
        <w:t>76.08</w:t>
      </w:r>
      <w:r w:rsidRPr="009A7378">
        <w:rPr>
          <w:rFonts w:ascii="仿宋_GB2312" w:eastAsia="仿宋_GB2312" w:hAnsi="仿宋" w:cs="Helvetica" w:hint="eastAsia"/>
          <w:kern w:val="0"/>
          <w:sz w:val="32"/>
          <w:szCs w:val="32"/>
        </w:rPr>
        <w:t>万元，增加</w:t>
      </w:r>
      <w:r w:rsidRPr="009A7378">
        <w:rPr>
          <w:rFonts w:ascii="仿宋_GB2312" w:eastAsia="仿宋_GB2312" w:hAnsi="仿宋" w:cs="Helvetica"/>
          <w:kern w:val="0"/>
          <w:sz w:val="32"/>
          <w:szCs w:val="32"/>
        </w:rPr>
        <w:t>27%</w:t>
      </w:r>
      <w:r w:rsidRPr="009A7378">
        <w:rPr>
          <w:rFonts w:ascii="仿宋_GB2312" w:eastAsia="仿宋_GB2312" w:hAnsi="仿宋" w:cs="Helvetica" w:hint="eastAsia"/>
          <w:kern w:val="0"/>
          <w:sz w:val="32"/>
          <w:szCs w:val="32"/>
        </w:rPr>
        <w:t>，增加的主要原因是改善殡仪馆基础设施建设。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其中：人员经费支出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169.21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代缴社会保险费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、其他对个人和家庭的补助等。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公用经费支出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152.47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（二）项目支出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 w:firstLine="635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年一般公共预算拨款项目支出预算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,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比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年预算增加（减少）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,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增长（下降）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（三）支出功能分类说明</w:t>
      </w:r>
    </w:p>
    <w:p w:rsidR="00BF121F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1.2024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年行政运行支出预算数为</w:t>
      </w:r>
      <w:r>
        <w:rPr>
          <w:rFonts w:ascii="仿宋_GB2312" w:eastAsia="仿宋_GB2312" w:hAnsi="Calibri" w:cs="宋体"/>
          <w:kern w:val="0"/>
          <w:sz w:val="32"/>
          <w:szCs w:val="32"/>
        </w:rPr>
        <w:t>306.18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万元，比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>
        <w:rPr>
          <w:rFonts w:ascii="仿宋_GB2312" w:eastAsia="仿宋_GB2312" w:hAnsi="宋体" w:cs="宋体"/>
          <w:kern w:val="0"/>
          <w:sz w:val="32"/>
          <w:szCs w:val="32"/>
        </w:rPr>
        <w:t>70.9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殡仪馆业务增加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2.2024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年机关事业单位基本养老保险缴费支出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16.89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万元，比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年预算增加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1.86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万元，主要原因是人员增减变动。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3.2024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年行政单位医疗支出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11.02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万元，比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年预算增加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0.52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万元，主要原因是公务员医疗补助比例上调。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4.2024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年住房公积金支出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13.9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万元，比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年预算增加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2.6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万元，主要原因是年度考核奖纳入公积金缴费基数。</w:t>
      </w:r>
    </w:p>
    <w:p w:rsidR="00BF121F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5.2024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年归口管理的行政单位离退休支出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万元，比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年预算增加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万元，主要原因无。</w:t>
      </w:r>
    </w:p>
    <w:p w:rsidR="00BF121F" w:rsidRPr="009C55ED" w:rsidRDefault="00BF121F" w:rsidP="009C55ED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9C55ED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9C55ED">
        <w:rPr>
          <w:rFonts w:ascii="仿宋_GB2312" w:eastAsia="仿宋_GB2312" w:hAnsi="宋体" w:cs="宋体" w:hint="eastAsia"/>
          <w:kern w:val="0"/>
          <w:sz w:val="32"/>
          <w:szCs w:val="32"/>
        </w:rPr>
        <w:t>其他社会保障和就业支出</w:t>
      </w:r>
      <w:r>
        <w:rPr>
          <w:rFonts w:ascii="仿宋_GB2312" w:eastAsia="仿宋_GB2312" w:hAnsi="宋体" w:cs="宋体"/>
          <w:kern w:val="0"/>
          <w:sz w:val="32"/>
          <w:szCs w:val="32"/>
        </w:rPr>
        <w:t>1.29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比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年预算增加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</w:t>
      </w:r>
      <w:r>
        <w:rPr>
          <w:rFonts w:ascii="仿宋_GB2312" w:eastAsia="仿宋_GB2312" w:hAnsi="Calibri" w:cs="宋体"/>
          <w:kern w:val="0"/>
          <w:sz w:val="32"/>
          <w:szCs w:val="32"/>
        </w:rPr>
        <w:t>15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万元，主要原因人员增减变动。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五、部门（单位）一般公共预算财政拨款“三公”经费、培训费、会议费等情况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（一）“三公”经费情况说明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三公”经费预算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万元，较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年预算减少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1.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因公出国（境）费、车辆购置费，由市级财政统一安排，根据部门实际情况，经市政府同意，按程序拨付部门单位使用。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42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2.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公务接待费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。较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年减少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万元，与上年持平。预计接待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批次，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人次。与上年持平。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 w:firstLine="788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3.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公务用车运行维护费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万元，与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年一致。公务用车辆保有量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辆。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（二）培训费预算情况说明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 w:firstLine="788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4.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培训费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万元，与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年一致。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（三）会议费预算情况说明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5.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会议费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万元，与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年一致。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六、一般公共预算财政拨款机关运行经费情况</w:t>
      </w:r>
    </w:p>
    <w:p w:rsidR="00BF121F" w:rsidRPr="009A7378" w:rsidRDefault="00BF121F" w:rsidP="00207161">
      <w:pPr>
        <w:widowControl/>
        <w:shd w:val="clear" w:color="auto" w:fill="FFFFFF"/>
        <w:spacing w:before="600" w:line="561" w:lineRule="atLeast"/>
        <w:ind w:left="142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机关运行费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万元，较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年减少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。与上年持平。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七、政府采购安排情况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年政府采购预算总额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101.62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81.62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20.0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年，单位面向中小企业预留政府采购项目预算金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101.62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万元，小微企业预留政府采购项目预算金额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101.62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八、国有资产占用情况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上年末固定资产金额为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1555.15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,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其中：办公用房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3335.34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平方米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;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部门及所属预算单位共有车辆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84.57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;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单价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万元以上通用设备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BF121F" w:rsidRPr="009A7378" w:rsidRDefault="00BF121F" w:rsidP="00C6790F">
      <w:pPr>
        <w:widowControl/>
        <w:shd w:val="clear" w:color="auto" w:fill="FFFFFF"/>
        <w:spacing w:before="600" w:line="56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年拟采购固定资产约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36.02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万元，主要包括：多功能一体机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0.5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万元，碎纸机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0.2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万元，发电机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10.0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万元，饮水机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3.0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万元，照明设备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3.0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万元，视频监控设备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5.0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万元，录放音机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1.0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万元，办公桌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7.2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万元，办公椅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3.12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九、其他重要事项情况说明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（一）政府性基金预算支出情况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年未安排政府性基金预算支出，政府性基金预算支出情况表为空表。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（二）非税收入情况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年本单位非税收入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200.34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（三）重点项目情况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本单位年初预算未安排项目支出，无重点项目说明。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（四）部门管理转移支付情况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年无单位管理转移支付，单位管理转移支付表为空表。”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（五）国有资本经营预算支出情况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年使用国有资本经营预算拨款安排支出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万元，与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年一致。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国有资本经营预算支出（类）解决历史遗留问题及改革成本支出（款）国有企业改革成本支出（项）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0.0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万元，与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年一致。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黑体" w:eastAsia="黑体" w:hAnsi="黑体" w:cs="宋体" w:hint="eastAsia"/>
          <w:kern w:val="0"/>
          <w:sz w:val="32"/>
          <w:szCs w:val="32"/>
        </w:rPr>
        <w:t>十、预算绩效管理情况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</w:t>
      </w:r>
      <w:r w:rsidRPr="009A7378">
        <w:rPr>
          <w:rFonts w:ascii="楷体_GB2312" w:eastAsia="楷体_GB2312" w:hAnsi="Calibri" w:cs="宋体"/>
          <w:b/>
          <w:bCs/>
          <w:kern w:val="0"/>
          <w:sz w:val="32"/>
          <w:szCs w:val="32"/>
        </w:rPr>
        <w:t>2023</w:t>
      </w: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年预算绩效管理工作情况。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按照《中共中央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国务院关于全面实施预算绩效管理的意见》《中共甘肃省委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甘肃省人民政府关于全面实施预算绩效管理的实施意见》等相关要求，我们将绩效理念和方法融入预算编制、执行、决算和监督全过程认真开展各项工作。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1.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绩效目标管理情况。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年度，按照“谁申请资金，谁设置目标”的原则，纳入部门预算管理的单位整体支出和项目绩效目标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个，按规定随年度预算一并公开项目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个，公开率为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2.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绩效运行监控情况。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1-12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月，组织开展绩效运行监控项目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个，占本单位项目的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。截至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月底，如期完成预算执行和绩效目标指标值的项目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个，完成率为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。“双监控”没发现问题。开展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1-12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月绩效运行监控项目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个，占本部门（单位）项目的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。截至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12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月底，如期完成预算执行和绩效目标指标值的项目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个，完成率为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。“双监控”没发现问题。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3.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绩效自评开展情况。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年度，组织开展绩效自评项目共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个，其中，单位整体支出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个，项目支出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个，转移支付项目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个，绩效自评覆盖率为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100%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。绩效自评结果及时随部门决算报送财政和随决算公开情况。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4.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绩效结果应用情况。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年度绩效运行监控、绩效自评等情况，当年盘活财政资金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年度无增加减少部门预算项目，同时对政策和项目资金管理作出调整的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0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</w:t>
      </w:r>
      <w:r w:rsidRPr="009A7378">
        <w:rPr>
          <w:rFonts w:ascii="楷体_GB2312" w:eastAsia="楷体_GB2312" w:hAnsi="Calibri" w:cs="宋体"/>
          <w:b/>
          <w:bCs/>
          <w:kern w:val="0"/>
          <w:sz w:val="32"/>
          <w:szCs w:val="32"/>
        </w:rPr>
        <w:t>2024</w:t>
      </w: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年绩效目标编制情况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年，纳入单位预算绩效目标管理的项目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个。其中，部门整体支出绩效目标围绕部门管理、履职效果、能力建设三个维度，设置二级指标</w:t>
      </w:r>
      <w:r w:rsidRPr="009A7378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个、三级指标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31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个；无项目支出。各项绩效目标内容指向明确、细化量化、合理可行，符合规定的格式要求。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十一、名词解释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1.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财政拨款</w:t>
      </w: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: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指由一般公共预算、政府性基金预算、国有资本经营预算安排的财政拨款数。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2.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一般公共预算</w:t>
      </w: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: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包括公共财政拨款（补助）资金、专项收入。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3.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财政专户管理资金</w:t>
      </w: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: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包括专户管理行政事业性收费（主要是教育收费）、其他非税收入。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4.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其他资金</w:t>
      </w: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: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包括事业收入、事业经营收入、其他收入等。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5.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基本支出</w:t>
      </w: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: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包括人员经费、公用经费（定额）。其中，人员经费包括工资福利支出、对个人和家庭的补助。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6.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项目支出</w:t>
      </w: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: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7.</w:t>
      </w:r>
      <w:r w:rsidRPr="009A7378"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“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三公”经费</w:t>
      </w: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: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8.</w:t>
      </w:r>
      <w:r w:rsidRPr="009A7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机关运行经费</w:t>
      </w:r>
      <w:r w:rsidRPr="009A7378">
        <w:rPr>
          <w:rFonts w:ascii="仿宋_GB2312" w:eastAsia="仿宋_GB2312" w:hAnsi="Calibri" w:cs="宋体"/>
          <w:b/>
          <w:bCs/>
          <w:kern w:val="0"/>
          <w:sz w:val="32"/>
          <w:szCs w:val="32"/>
        </w:rPr>
        <w:t>: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 w:rsidR="00BF121F" w:rsidRPr="008C5F8A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仿宋_GB2312" w:eastAsia="仿宋_GB2312" w:hAnsi="Calibri" w:cs="宋体"/>
          <w:spacing w:val="-20"/>
          <w:kern w:val="0"/>
          <w:sz w:val="32"/>
          <w:szCs w:val="32"/>
        </w:rPr>
      </w:pP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kern w:val="0"/>
          <w:sz w:val="32"/>
          <w:szCs w:val="32"/>
        </w:rPr>
        <w:t>:</w:t>
      </w:r>
      <w:r w:rsidRPr="008C5F8A">
        <w:t xml:space="preserve"> </w:t>
      </w:r>
      <w:r w:rsidRPr="008C5F8A">
        <w:rPr>
          <w:rFonts w:ascii="仿宋_GB2312" w:eastAsia="仿宋_GB2312" w:hAnsi="Calibri" w:cs="宋体"/>
          <w:spacing w:val="-20"/>
          <w:kern w:val="0"/>
          <w:sz w:val="32"/>
          <w:szCs w:val="32"/>
        </w:rPr>
        <w:t>1.</w:t>
      </w:r>
      <w:r w:rsidRPr="008C5F8A">
        <w:rPr>
          <w:rFonts w:ascii="仿宋_GB2312" w:eastAsia="仿宋_GB2312" w:hAnsi="Calibri" w:cs="宋体" w:hint="eastAsia"/>
          <w:spacing w:val="-20"/>
          <w:kern w:val="0"/>
          <w:sz w:val="32"/>
          <w:szCs w:val="32"/>
        </w:rPr>
        <w:t>甘州区殡仪馆</w:t>
      </w:r>
      <w:r w:rsidRPr="008C5F8A">
        <w:rPr>
          <w:rFonts w:ascii="仿宋_GB2312" w:eastAsia="仿宋_GB2312" w:hAnsi="Calibri" w:cs="宋体"/>
          <w:spacing w:val="-20"/>
          <w:kern w:val="0"/>
          <w:sz w:val="32"/>
          <w:szCs w:val="32"/>
        </w:rPr>
        <w:t>2024</w:t>
      </w:r>
      <w:r w:rsidRPr="008C5F8A">
        <w:rPr>
          <w:rFonts w:ascii="仿宋_GB2312" w:eastAsia="仿宋_GB2312" w:hAnsi="Calibri" w:cs="宋体" w:hint="eastAsia"/>
          <w:spacing w:val="-20"/>
          <w:kern w:val="0"/>
          <w:sz w:val="32"/>
          <w:szCs w:val="32"/>
        </w:rPr>
        <w:t>年预算公开说明</w:t>
      </w:r>
    </w:p>
    <w:p w:rsidR="00BF121F" w:rsidRPr="009A7378" w:rsidRDefault="00BF121F" w:rsidP="00C6790F">
      <w:pPr>
        <w:widowControl/>
        <w:shd w:val="clear" w:color="auto" w:fill="FFFFFF"/>
        <w:spacing w:before="600" w:line="641" w:lineRule="atLeast"/>
        <w:ind w:left="150" w:right="150" w:firstLine="641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/>
          <w:spacing w:val="-20"/>
          <w:kern w:val="0"/>
          <w:sz w:val="32"/>
          <w:szCs w:val="32"/>
        </w:rPr>
        <w:t>2.</w:t>
      </w:r>
      <w:r w:rsidRPr="009A7378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甘州区殡仪馆</w:t>
      </w:r>
      <w:r w:rsidRPr="009A7378">
        <w:rPr>
          <w:rFonts w:ascii="仿宋_GB2312" w:eastAsia="仿宋_GB2312" w:hAnsi="Calibri" w:cs="宋体"/>
          <w:spacing w:val="-20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年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Pr="009A7378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预算公开表</w:t>
      </w:r>
    </w:p>
    <w:p w:rsidR="00BF121F" w:rsidRPr="009A7378" w:rsidRDefault="00BF121F" w:rsidP="003D5BB8">
      <w:pPr>
        <w:widowControl/>
        <w:shd w:val="clear" w:color="auto" w:fill="FFFFFF"/>
        <w:spacing w:before="600" w:line="641" w:lineRule="atLeast"/>
        <w:ind w:leftChars="71" w:left="149" w:right="150" w:firstLineChars="200"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仿宋_GB2312" w:eastAsia="仿宋_GB2312" w:hAnsi="Calibri" w:cs="宋体"/>
          <w:kern w:val="0"/>
          <w:sz w:val="32"/>
          <w:szCs w:val="32"/>
        </w:rPr>
        <w:t>3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.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甘州区殡仪馆</w:t>
      </w:r>
      <w:r w:rsidRPr="009A7378">
        <w:rPr>
          <w:rFonts w:ascii="仿宋_GB2312" w:eastAsia="仿宋_GB2312" w:hAnsi="Calibri" w:cs="宋体"/>
          <w:kern w:val="0"/>
          <w:sz w:val="32"/>
          <w:szCs w:val="32"/>
        </w:rPr>
        <w:t>2024</w:t>
      </w:r>
      <w:r w:rsidRPr="009A7378">
        <w:rPr>
          <w:rFonts w:ascii="仿宋_GB2312" w:eastAsia="仿宋_GB2312" w:hAnsi="宋体" w:cs="宋体" w:hint="eastAsia"/>
          <w:kern w:val="0"/>
          <w:sz w:val="32"/>
          <w:szCs w:val="32"/>
        </w:rPr>
        <w:t>年单位整体支出绩效目标及预算项目绩效目标表</w:t>
      </w:r>
    </w:p>
    <w:p w:rsidR="00BF121F" w:rsidRPr="008C5F8A" w:rsidRDefault="00BF121F"/>
    <w:sectPr w:rsidR="00BF121F" w:rsidRPr="008C5F8A" w:rsidSect="00F4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90F"/>
    <w:rsid w:val="00034CAD"/>
    <w:rsid w:val="00073320"/>
    <w:rsid w:val="000C7F68"/>
    <w:rsid w:val="001D07F1"/>
    <w:rsid w:val="00207161"/>
    <w:rsid w:val="002A52BF"/>
    <w:rsid w:val="002C2ECA"/>
    <w:rsid w:val="003679A5"/>
    <w:rsid w:val="003B2A7B"/>
    <w:rsid w:val="003D5BB8"/>
    <w:rsid w:val="004068DE"/>
    <w:rsid w:val="00411E6A"/>
    <w:rsid w:val="00553A51"/>
    <w:rsid w:val="00590ADD"/>
    <w:rsid w:val="0060622F"/>
    <w:rsid w:val="006555B9"/>
    <w:rsid w:val="006B6DB1"/>
    <w:rsid w:val="006D4ABD"/>
    <w:rsid w:val="007D5266"/>
    <w:rsid w:val="007E2350"/>
    <w:rsid w:val="008154BF"/>
    <w:rsid w:val="00821168"/>
    <w:rsid w:val="0084693B"/>
    <w:rsid w:val="00854AAE"/>
    <w:rsid w:val="008C5F8A"/>
    <w:rsid w:val="00964829"/>
    <w:rsid w:val="00983F31"/>
    <w:rsid w:val="00991000"/>
    <w:rsid w:val="00997678"/>
    <w:rsid w:val="009A7378"/>
    <w:rsid w:val="009C55ED"/>
    <w:rsid w:val="009E325F"/>
    <w:rsid w:val="00A74268"/>
    <w:rsid w:val="00AE6084"/>
    <w:rsid w:val="00B36B80"/>
    <w:rsid w:val="00BE10E1"/>
    <w:rsid w:val="00BF121F"/>
    <w:rsid w:val="00C6790F"/>
    <w:rsid w:val="00CA338C"/>
    <w:rsid w:val="00CB315B"/>
    <w:rsid w:val="00DA6796"/>
    <w:rsid w:val="00DE6C8E"/>
    <w:rsid w:val="00EA303E"/>
    <w:rsid w:val="00EC145B"/>
    <w:rsid w:val="00EE078B"/>
    <w:rsid w:val="00EF4E2C"/>
    <w:rsid w:val="00F4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C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jk">
    <w:name w:val="cjk"/>
    <w:basedOn w:val="Normal"/>
    <w:uiPriority w:val="99"/>
    <w:rsid w:val="00C67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679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18</Pages>
  <Words>661</Words>
  <Characters>3768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甘州区殡仪馆</cp:lastModifiedBy>
  <cp:revision>13</cp:revision>
  <dcterms:created xsi:type="dcterms:W3CDTF">2024-03-04T02:03:00Z</dcterms:created>
  <dcterms:modified xsi:type="dcterms:W3CDTF">2024-03-06T08:57:00Z</dcterms:modified>
</cp:coreProperties>
</file>